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D8" w:rsidRPr="00CC71BA" w:rsidRDefault="00AA4BD8" w:rsidP="00AA4BD8">
      <w:pPr>
        <w:spacing w:after="200" w:line="276" w:lineRule="auto"/>
        <w:contextualSpacing/>
        <w:jc w:val="center"/>
        <w:rPr>
          <w:b/>
          <w:bCs/>
          <w:sz w:val="22"/>
          <w:szCs w:val="22"/>
        </w:rPr>
      </w:pPr>
      <w:r w:rsidRPr="00CC71BA">
        <w:rPr>
          <w:b/>
          <w:bCs/>
          <w:sz w:val="22"/>
          <w:szCs w:val="22"/>
          <w:lang w:eastAsia="x-none"/>
        </w:rPr>
        <w:t xml:space="preserve">İMAR VE BAYINDIRLIK KOMİSYONU </w:t>
      </w:r>
      <w:r w:rsidRPr="00CC71BA">
        <w:rPr>
          <w:b/>
          <w:bCs/>
          <w:sz w:val="22"/>
          <w:szCs w:val="22"/>
        </w:rPr>
        <w:t>RAPORU</w:t>
      </w:r>
    </w:p>
    <w:p w:rsidR="00AA4BD8" w:rsidRPr="00CC71BA" w:rsidRDefault="00AA4BD8" w:rsidP="00AA4BD8">
      <w:pPr>
        <w:spacing w:after="200" w:line="276" w:lineRule="auto"/>
        <w:contextualSpacing/>
        <w:jc w:val="center"/>
        <w:rPr>
          <w:b/>
          <w:bCs/>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54"/>
      </w:tblGrid>
      <w:tr w:rsidR="00AA4BD8" w:rsidRPr="00CC71BA" w:rsidTr="00162872">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sz w:val="22"/>
                <w:szCs w:val="22"/>
              </w:rPr>
            </w:pPr>
            <w:r w:rsidRPr="00CC71BA">
              <w:rPr>
                <w:b/>
                <w:sz w:val="22"/>
                <w:szCs w:val="22"/>
              </w:rPr>
              <w:t>TEKLİFİN / ÖNERGENİN KONUSU</w:t>
            </w:r>
          </w:p>
        </w:tc>
        <w:tc>
          <w:tcPr>
            <w:tcW w:w="5954" w:type="dxa"/>
            <w:tcBorders>
              <w:top w:val="single" w:sz="4" w:space="0" w:color="auto"/>
              <w:left w:val="single" w:sz="4" w:space="0" w:color="auto"/>
              <w:bottom w:val="single" w:sz="4" w:space="0" w:color="auto"/>
              <w:right w:val="single" w:sz="4" w:space="0" w:color="auto"/>
            </w:tcBorders>
          </w:tcPr>
          <w:p w:rsidR="00AA4BD8" w:rsidRPr="00DF789A" w:rsidRDefault="00DF789A" w:rsidP="00DF789A">
            <w:pPr>
              <w:jc w:val="both"/>
              <w:rPr>
                <w:b/>
                <w:sz w:val="22"/>
                <w:szCs w:val="22"/>
              </w:rPr>
            </w:pPr>
            <w:r w:rsidRPr="00DF789A">
              <w:rPr>
                <w:b/>
                <w:bCs/>
                <w:szCs w:val="22"/>
                <w:lang w:eastAsia="x-none"/>
              </w:rPr>
              <w:t xml:space="preserve">Nazım İmar Planı ve Uygulama İmar Planının </w:t>
            </w:r>
            <w:r w:rsidRPr="00DF789A">
              <w:rPr>
                <w:b/>
                <w:bCs/>
                <w:szCs w:val="22"/>
                <w:lang w:eastAsia="x-none"/>
              </w:rPr>
              <w:t>Onaylanması</w:t>
            </w:r>
          </w:p>
        </w:tc>
      </w:tr>
      <w:tr w:rsidR="00AA4BD8" w:rsidRPr="00CC71BA" w:rsidTr="00162872">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sz w:val="22"/>
                <w:szCs w:val="22"/>
              </w:rPr>
            </w:pPr>
            <w:r w:rsidRPr="00CC71BA">
              <w:rPr>
                <w:b/>
                <w:sz w:val="22"/>
                <w:szCs w:val="22"/>
              </w:rPr>
              <w:t>HAVALE TARİHİ</w:t>
            </w:r>
          </w:p>
        </w:tc>
        <w:tc>
          <w:tcPr>
            <w:tcW w:w="5954" w:type="dxa"/>
            <w:tcBorders>
              <w:top w:val="single" w:sz="4" w:space="0" w:color="auto"/>
              <w:left w:val="single" w:sz="4" w:space="0" w:color="auto"/>
              <w:bottom w:val="single" w:sz="4" w:space="0" w:color="auto"/>
              <w:right w:val="single" w:sz="4" w:space="0" w:color="auto"/>
            </w:tcBorders>
          </w:tcPr>
          <w:p w:rsidR="00AA4BD8" w:rsidRPr="00CC71BA" w:rsidRDefault="009972D4" w:rsidP="00AA4BD8">
            <w:pPr>
              <w:rPr>
                <w:b/>
                <w:bCs/>
                <w:sz w:val="22"/>
                <w:szCs w:val="22"/>
              </w:rPr>
            </w:pPr>
            <w:r>
              <w:rPr>
                <w:b/>
                <w:bCs/>
                <w:sz w:val="22"/>
                <w:szCs w:val="22"/>
              </w:rPr>
              <w:t>04</w:t>
            </w:r>
            <w:r w:rsidR="00AA4BD8" w:rsidRPr="00CC71BA">
              <w:rPr>
                <w:b/>
                <w:bCs/>
                <w:sz w:val="22"/>
                <w:szCs w:val="22"/>
              </w:rPr>
              <w:t>.05.2023</w:t>
            </w:r>
          </w:p>
        </w:tc>
      </w:tr>
      <w:tr w:rsidR="00AA4BD8" w:rsidRPr="00CC71BA" w:rsidTr="00162872">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sz w:val="22"/>
                <w:szCs w:val="22"/>
              </w:rPr>
            </w:pPr>
            <w:r w:rsidRPr="00CC71BA">
              <w:rPr>
                <w:b/>
                <w:sz w:val="22"/>
                <w:szCs w:val="22"/>
              </w:rPr>
              <w:t>HAVALE KARAR SAYISI</w:t>
            </w:r>
          </w:p>
        </w:tc>
        <w:tc>
          <w:tcPr>
            <w:tcW w:w="5954" w:type="dxa"/>
            <w:tcBorders>
              <w:top w:val="single" w:sz="4" w:space="0" w:color="auto"/>
              <w:left w:val="single" w:sz="4" w:space="0" w:color="auto"/>
              <w:bottom w:val="single" w:sz="4" w:space="0" w:color="auto"/>
              <w:right w:val="single" w:sz="4" w:space="0" w:color="auto"/>
            </w:tcBorders>
          </w:tcPr>
          <w:p w:rsidR="00AA4BD8" w:rsidRPr="00CC71BA" w:rsidRDefault="00AA4BD8" w:rsidP="009972D4">
            <w:pPr>
              <w:ind w:right="21"/>
              <w:jc w:val="both"/>
              <w:rPr>
                <w:rFonts w:eastAsia="Arial Unicode MS"/>
                <w:b/>
                <w:sz w:val="22"/>
                <w:szCs w:val="22"/>
              </w:rPr>
            </w:pPr>
            <w:r w:rsidRPr="00CC71BA">
              <w:rPr>
                <w:rFonts w:eastAsia="Arial Unicode MS"/>
                <w:b/>
                <w:sz w:val="22"/>
                <w:szCs w:val="22"/>
              </w:rPr>
              <w:t>5/</w:t>
            </w:r>
            <w:r w:rsidR="009972D4">
              <w:rPr>
                <w:rFonts w:eastAsia="Arial Unicode MS"/>
                <w:b/>
                <w:sz w:val="22"/>
                <w:szCs w:val="22"/>
              </w:rPr>
              <w:t>3</w:t>
            </w:r>
            <w:r w:rsidRPr="00CC71BA">
              <w:rPr>
                <w:rFonts w:eastAsia="Arial Unicode MS"/>
                <w:b/>
                <w:sz w:val="22"/>
                <w:szCs w:val="22"/>
              </w:rPr>
              <w:t>-</w:t>
            </w:r>
            <w:r w:rsidR="009972D4">
              <w:rPr>
                <w:rFonts w:eastAsia="Arial Unicode MS"/>
                <w:b/>
                <w:sz w:val="22"/>
                <w:szCs w:val="22"/>
              </w:rPr>
              <w:t>119</w:t>
            </w:r>
          </w:p>
        </w:tc>
      </w:tr>
    </w:tbl>
    <w:p w:rsidR="00AA4BD8" w:rsidRPr="00CC71BA" w:rsidRDefault="00AA4BD8" w:rsidP="00AA4BD8">
      <w:pPr>
        <w:rPr>
          <w:b/>
          <w:bCs/>
          <w:sz w:val="22"/>
          <w:szCs w:val="22"/>
        </w:rPr>
      </w:pPr>
    </w:p>
    <w:p w:rsidR="00AA4BD8" w:rsidRPr="00CC71BA" w:rsidRDefault="00AA4BD8" w:rsidP="00AA4BD8">
      <w:pPr>
        <w:jc w:val="center"/>
        <w:rPr>
          <w:b/>
          <w:bCs/>
          <w:sz w:val="22"/>
          <w:szCs w:val="22"/>
        </w:rPr>
      </w:pPr>
      <w:r w:rsidRPr="00CC71BA">
        <w:rPr>
          <w:b/>
          <w:bCs/>
          <w:sz w:val="22"/>
          <w:szCs w:val="22"/>
        </w:rPr>
        <w:t>İL GENEL MECLİSİ BAŞKANLIĞINA</w:t>
      </w:r>
    </w:p>
    <w:p w:rsidR="00AA4BD8" w:rsidRPr="00CC71BA" w:rsidRDefault="00AA4BD8" w:rsidP="00A24B97">
      <w:pPr>
        <w:ind w:firstLine="708"/>
        <w:jc w:val="both"/>
        <w:rPr>
          <w:b/>
          <w:bCs/>
          <w:sz w:val="22"/>
          <w:szCs w:val="22"/>
          <w:lang w:eastAsia="x-none"/>
        </w:rPr>
      </w:pPr>
    </w:p>
    <w:p w:rsidR="00A24B97" w:rsidRPr="006F1CFC" w:rsidRDefault="00A24B97" w:rsidP="00A24B97">
      <w:pPr>
        <w:ind w:firstLine="708"/>
        <w:jc w:val="both"/>
        <w:rPr>
          <w:szCs w:val="22"/>
          <w:lang w:eastAsia="x-none"/>
        </w:rPr>
      </w:pPr>
      <w:r w:rsidRPr="006F1CFC">
        <w:rPr>
          <w:bCs/>
          <w:szCs w:val="22"/>
          <w:lang w:eastAsia="x-none"/>
        </w:rPr>
        <w:t xml:space="preserve">Isparta İli,  Atabey İlçesi, Pembeli Köyünde tapunun 106 ada 37 ve 40 </w:t>
      </w:r>
      <w:proofErr w:type="spellStart"/>
      <w:r w:rsidRPr="006F1CFC">
        <w:rPr>
          <w:bCs/>
          <w:szCs w:val="22"/>
          <w:lang w:eastAsia="x-none"/>
        </w:rPr>
        <w:t>nolu</w:t>
      </w:r>
      <w:proofErr w:type="spellEnd"/>
      <w:r w:rsidRPr="006F1CFC">
        <w:rPr>
          <w:bCs/>
          <w:szCs w:val="22"/>
          <w:lang w:eastAsia="x-none"/>
        </w:rPr>
        <w:t xml:space="preserve"> parselinde kayıtlı olan toplam 8,614.21 m² yüzölçümlü taşınmazları kapsayan alanda mülkiyet sahibi </w:t>
      </w:r>
      <w:proofErr w:type="spellStart"/>
      <w:r w:rsidRPr="006F1CFC">
        <w:rPr>
          <w:bCs/>
          <w:szCs w:val="22"/>
          <w:lang w:eastAsia="x-none"/>
        </w:rPr>
        <w:t>Melaz</w:t>
      </w:r>
      <w:proofErr w:type="spellEnd"/>
      <w:r w:rsidRPr="006F1CFC">
        <w:rPr>
          <w:bCs/>
          <w:szCs w:val="22"/>
          <w:lang w:eastAsia="x-none"/>
        </w:rPr>
        <w:t xml:space="preserve"> Enerji Sanayi A.Ş. tarafından yapılması planlanan 400 kW gücünde “Yenilenebilir Enerji Kaynaklarına Dayalı Üretim Tesis Alanında (Lisanssız Güneş Enerji Santrali (GES))” R&amp;B Partner adına Şehir Plancısı Ramazan BALCI tarafından hazırlanan NİP-</w:t>
      </w:r>
      <w:proofErr w:type="gramStart"/>
      <w:r w:rsidRPr="006F1CFC">
        <w:rPr>
          <w:bCs/>
          <w:szCs w:val="22"/>
          <w:lang w:eastAsia="x-none"/>
        </w:rPr>
        <w:t>321012915</w:t>
      </w:r>
      <w:proofErr w:type="gramEnd"/>
      <w:r w:rsidRPr="006F1CFC">
        <w:rPr>
          <w:bCs/>
          <w:szCs w:val="22"/>
          <w:lang w:eastAsia="x-none"/>
        </w:rPr>
        <w:t xml:space="preserve"> plan işlem numaralı 1/5.000 Ölçekli Nazım İmar Planı ve UİP-321012914plan işlem numaralı 1/1.000 Ölçekli Uygulama İmar Planının onaylanmasına dair </w:t>
      </w:r>
      <w:r w:rsidRPr="006F1CFC">
        <w:rPr>
          <w:color w:val="000000"/>
          <w:szCs w:val="22"/>
          <w:shd w:val="clear" w:color="auto" w:fill="FFFFFF"/>
          <w:lang w:eastAsia="x-none"/>
        </w:rPr>
        <w:t xml:space="preserve">İl Özel İdaresi Genel Sekreterliğinin (İmar ve Kentsel İyileştirme Müdürlüğü)  Valilik Makamınca havaleli 27.04.2023 tarih ve 35187 sayılı </w:t>
      </w:r>
      <w:r w:rsidRPr="006F1CFC">
        <w:rPr>
          <w:szCs w:val="22"/>
          <w:lang w:val="x-none" w:eastAsia="x-none"/>
        </w:rPr>
        <w:t xml:space="preserve">teklifinin </w:t>
      </w:r>
      <w:r w:rsidR="00AA4BD8" w:rsidRPr="006F1CFC">
        <w:rPr>
          <w:szCs w:val="22"/>
          <w:lang w:eastAsia="x-none"/>
        </w:rPr>
        <w:t>incelenme</w:t>
      </w:r>
      <w:bookmarkStart w:id="0" w:name="_GoBack"/>
      <w:bookmarkEnd w:id="0"/>
      <w:r w:rsidR="00AA4BD8" w:rsidRPr="006F1CFC">
        <w:rPr>
          <w:szCs w:val="22"/>
          <w:lang w:eastAsia="x-none"/>
        </w:rPr>
        <w:t>si neticesinde;</w:t>
      </w:r>
    </w:p>
    <w:p w:rsidR="00A24B97" w:rsidRPr="00CC71BA" w:rsidRDefault="00A24B97" w:rsidP="00A24B97">
      <w:pPr>
        <w:jc w:val="both"/>
        <w:rPr>
          <w:b/>
          <w:bCs/>
          <w:sz w:val="22"/>
          <w:szCs w:val="22"/>
          <w:lang w:eastAsia="x-none"/>
        </w:rPr>
      </w:pPr>
    </w:p>
    <w:p w:rsidR="006F1CFC" w:rsidRPr="006F1CFC" w:rsidRDefault="006F1CFC" w:rsidP="006F1CFC">
      <w:pPr>
        <w:shd w:val="clear" w:color="auto" w:fill="FFFFFF"/>
        <w:spacing w:line="276" w:lineRule="auto"/>
        <w:ind w:firstLine="708"/>
        <w:jc w:val="both"/>
        <w:rPr>
          <w:rFonts w:eastAsiaTheme="minorHAnsi"/>
          <w:lang w:eastAsia="en-US"/>
        </w:rPr>
      </w:pPr>
      <w:r w:rsidRPr="006F1CFC">
        <w:t>Söz konusu taşınmazlar için tapu kayıt örneklerine göre ayrı ayrı parsel büyüklükleri ve mülkiyetleri şu şekildedir:</w:t>
      </w:r>
    </w:p>
    <w:tbl>
      <w:tblPr>
        <w:tblW w:w="10031" w:type="dxa"/>
        <w:tblInd w:w="-10" w:type="dxa"/>
        <w:tblCellMar>
          <w:left w:w="70" w:type="dxa"/>
          <w:right w:w="70" w:type="dxa"/>
        </w:tblCellMar>
        <w:tblLook w:val="04A0" w:firstRow="1" w:lastRow="0" w:firstColumn="1" w:lastColumn="0" w:noHBand="0" w:noVBand="1"/>
      </w:tblPr>
      <w:tblGrid>
        <w:gridCol w:w="714"/>
        <w:gridCol w:w="1141"/>
        <w:gridCol w:w="1474"/>
        <w:gridCol w:w="1141"/>
        <w:gridCol w:w="1087"/>
        <w:gridCol w:w="1704"/>
        <w:gridCol w:w="1381"/>
        <w:gridCol w:w="1389"/>
      </w:tblGrid>
      <w:tr w:rsidR="006F1CFC" w:rsidRPr="006F1CFC" w:rsidTr="0039491A">
        <w:trPr>
          <w:trHeight w:val="620"/>
        </w:trPr>
        <w:tc>
          <w:tcPr>
            <w:tcW w:w="714" w:type="dxa"/>
            <w:tcBorders>
              <w:top w:val="single" w:sz="8" w:space="0" w:color="auto"/>
              <w:left w:val="single" w:sz="8" w:space="0" w:color="auto"/>
              <w:bottom w:val="nil"/>
              <w:right w:val="double" w:sz="6" w:space="0" w:color="3F3F3F"/>
            </w:tcBorders>
            <w:shd w:val="clear" w:color="000000" w:fill="A5A5A5"/>
            <w:vAlign w:val="center"/>
            <w:hideMark/>
          </w:tcPr>
          <w:p w:rsidR="006F1CFC" w:rsidRPr="006F1CFC" w:rsidRDefault="006F1CFC" w:rsidP="006F1CFC">
            <w:pPr>
              <w:jc w:val="both"/>
              <w:rPr>
                <w:b/>
                <w:bCs/>
                <w:sz w:val="20"/>
                <w:szCs w:val="22"/>
              </w:rPr>
            </w:pPr>
            <w:r w:rsidRPr="006F1CFC">
              <w:rPr>
                <w:b/>
                <w:bCs/>
                <w:sz w:val="20"/>
                <w:szCs w:val="22"/>
              </w:rPr>
              <w:t>SIRA NO</w:t>
            </w:r>
          </w:p>
        </w:tc>
        <w:tc>
          <w:tcPr>
            <w:tcW w:w="1141" w:type="dxa"/>
            <w:tcBorders>
              <w:top w:val="single" w:sz="8" w:space="0" w:color="auto"/>
              <w:left w:val="nil"/>
              <w:bottom w:val="double" w:sz="6" w:space="0" w:color="3F3F3F"/>
              <w:right w:val="double" w:sz="6" w:space="0" w:color="3F3F3F"/>
            </w:tcBorders>
            <w:shd w:val="clear" w:color="000000" w:fill="A5A5A5"/>
            <w:vAlign w:val="center"/>
            <w:hideMark/>
          </w:tcPr>
          <w:p w:rsidR="006F1CFC" w:rsidRPr="006F1CFC" w:rsidRDefault="006F1CFC" w:rsidP="006F1CFC">
            <w:pPr>
              <w:jc w:val="both"/>
              <w:rPr>
                <w:b/>
                <w:bCs/>
                <w:sz w:val="20"/>
                <w:szCs w:val="22"/>
              </w:rPr>
            </w:pPr>
            <w:r w:rsidRPr="006F1CFC">
              <w:rPr>
                <w:b/>
                <w:bCs/>
                <w:sz w:val="20"/>
                <w:szCs w:val="22"/>
              </w:rPr>
              <w:t>İL</w:t>
            </w:r>
          </w:p>
        </w:tc>
        <w:tc>
          <w:tcPr>
            <w:tcW w:w="1474" w:type="dxa"/>
            <w:tcBorders>
              <w:top w:val="single" w:sz="8" w:space="0" w:color="auto"/>
              <w:left w:val="nil"/>
              <w:bottom w:val="double" w:sz="6" w:space="0" w:color="3F3F3F"/>
              <w:right w:val="double" w:sz="6" w:space="0" w:color="3F3F3F"/>
            </w:tcBorders>
            <w:shd w:val="clear" w:color="000000" w:fill="A5A5A5"/>
            <w:vAlign w:val="center"/>
            <w:hideMark/>
          </w:tcPr>
          <w:p w:rsidR="006F1CFC" w:rsidRPr="006F1CFC" w:rsidRDefault="006F1CFC" w:rsidP="006F1CFC">
            <w:pPr>
              <w:jc w:val="both"/>
              <w:rPr>
                <w:b/>
                <w:bCs/>
                <w:sz w:val="20"/>
                <w:szCs w:val="22"/>
              </w:rPr>
            </w:pPr>
            <w:r w:rsidRPr="006F1CFC">
              <w:rPr>
                <w:b/>
                <w:bCs/>
                <w:sz w:val="20"/>
                <w:szCs w:val="22"/>
              </w:rPr>
              <w:t>İLÇE</w:t>
            </w:r>
          </w:p>
        </w:tc>
        <w:tc>
          <w:tcPr>
            <w:tcW w:w="1141" w:type="dxa"/>
            <w:tcBorders>
              <w:top w:val="single" w:sz="8" w:space="0" w:color="auto"/>
              <w:left w:val="nil"/>
              <w:bottom w:val="double" w:sz="6" w:space="0" w:color="3F3F3F"/>
              <w:right w:val="double" w:sz="6" w:space="0" w:color="3F3F3F"/>
            </w:tcBorders>
            <w:shd w:val="clear" w:color="000000" w:fill="A5A5A5"/>
            <w:vAlign w:val="center"/>
            <w:hideMark/>
          </w:tcPr>
          <w:p w:rsidR="006F1CFC" w:rsidRPr="006F1CFC" w:rsidRDefault="006F1CFC" w:rsidP="006F1CFC">
            <w:pPr>
              <w:jc w:val="both"/>
              <w:rPr>
                <w:b/>
                <w:bCs/>
                <w:sz w:val="20"/>
                <w:szCs w:val="22"/>
              </w:rPr>
            </w:pPr>
            <w:r w:rsidRPr="006F1CFC">
              <w:rPr>
                <w:b/>
                <w:bCs/>
                <w:sz w:val="20"/>
                <w:szCs w:val="22"/>
              </w:rPr>
              <w:t>KÖY</w:t>
            </w:r>
          </w:p>
        </w:tc>
        <w:tc>
          <w:tcPr>
            <w:tcW w:w="1087" w:type="dxa"/>
            <w:tcBorders>
              <w:top w:val="single" w:sz="8" w:space="0" w:color="auto"/>
              <w:left w:val="nil"/>
              <w:bottom w:val="double" w:sz="6" w:space="0" w:color="3F3F3F"/>
              <w:right w:val="double" w:sz="6" w:space="0" w:color="3F3F3F"/>
            </w:tcBorders>
            <w:shd w:val="clear" w:color="000000" w:fill="A5A5A5"/>
            <w:vAlign w:val="center"/>
            <w:hideMark/>
          </w:tcPr>
          <w:p w:rsidR="006F1CFC" w:rsidRPr="006F1CFC" w:rsidRDefault="006F1CFC" w:rsidP="006F1CFC">
            <w:pPr>
              <w:jc w:val="both"/>
              <w:rPr>
                <w:b/>
                <w:bCs/>
                <w:sz w:val="20"/>
                <w:szCs w:val="22"/>
              </w:rPr>
            </w:pPr>
            <w:r w:rsidRPr="006F1CFC">
              <w:rPr>
                <w:b/>
                <w:bCs/>
                <w:sz w:val="20"/>
                <w:szCs w:val="22"/>
              </w:rPr>
              <w:t>ADA/ PARSEL</w:t>
            </w:r>
          </w:p>
        </w:tc>
        <w:tc>
          <w:tcPr>
            <w:tcW w:w="1704" w:type="dxa"/>
            <w:tcBorders>
              <w:top w:val="single" w:sz="8" w:space="0" w:color="auto"/>
              <w:left w:val="nil"/>
              <w:bottom w:val="double" w:sz="6" w:space="0" w:color="3F3F3F"/>
              <w:right w:val="double" w:sz="6" w:space="0" w:color="3F3F3F"/>
            </w:tcBorders>
            <w:shd w:val="clear" w:color="000000" w:fill="A5A5A5"/>
            <w:vAlign w:val="center"/>
            <w:hideMark/>
          </w:tcPr>
          <w:p w:rsidR="006F1CFC" w:rsidRPr="006F1CFC" w:rsidRDefault="006F1CFC" w:rsidP="006F1CFC">
            <w:pPr>
              <w:jc w:val="both"/>
              <w:rPr>
                <w:b/>
                <w:bCs/>
                <w:sz w:val="20"/>
                <w:szCs w:val="22"/>
              </w:rPr>
            </w:pPr>
            <w:r w:rsidRPr="006F1CFC">
              <w:rPr>
                <w:b/>
                <w:bCs/>
                <w:sz w:val="20"/>
                <w:szCs w:val="22"/>
              </w:rPr>
              <w:t>MALİK</w:t>
            </w:r>
          </w:p>
        </w:tc>
        <w:tc>
          <w:tcPr>
            <w:tcW w:w="1381" w:type="dxa"/>
            <w:tcBorders>
              <w:top w:val="single" w:sz="8" w:space="0" w:color="auto"/>
              <w:left w:val="nil"/>
              <w:bottom w:val="double" w:sz="6" w:space="0" w:color="3F3F3F"/>
              <w:right w:val="double" w:sz="6" w:space="0" w:color="3F3F3F"/>
            </w:tcBorders>
            <w:shd w:val="clear" w:color="000000" w:fill="A5A5A5"/>
            <w:vAlign w:val="center"/>
            <w:hideMark/>
          </w:tcPr>
          <w:p w:rsidR="006F1CFC" w:rsidRPr="006F1CFC" w:rsidRDefault="006F1CFC" w:rsidP="006F1CFC">
            <w:pPr>
              <w:jc w:val="both"/>
              <w:rPr>
                <w:b/>
                <w:bCs/>
                <w:sz w:val="20"/>
                <w:szCs w:val="22"/>
              </w:rPr>
            </w:pPr>
            <w:r w:rsidRPr="006F1CFC">
              <w:rPr>
                <w:b/>
                <w:bCs/>
                <w:sz w:val="20"/>
                <w:szCs w:val="22"/>
              </w:rPr>
              <w:t>ÇAĞRI MEKTUBU</w:t>
            </w:r>
          </w:p>
        </w:tc>
        <w:tc>
          <w:tcPr>
            <w:tcW w:w="1389" w:type="dxa"/>
            <w:tcBorders>
              <w:top w:val="single" w:sz="8" w:space="0" w:color="auto"/>
              <w:left w:val="nil"/>
              <w:bottom w:val="double" w:sz="6" w:space="0" w:color="3F3F3F"/>
              <w:right w:val="single" w:sz="8" w:space="0" w:color="auto"/>
            </w:tcBorders>
            <w:shd w:val="clear" w:color="000000" w:fill="A5A5A5"/>
            <w:vAlign w:val="center"/>
            <w:hideMark/>
          </w:tcPr>
          <w:p w:rsidR="006F1CFC" w:rsidRPr="006F1CFC" w:rsidRDefault="006F1CFC" w:rsidP="006F1CFC">
            <w:pPr>
              <w:jc w:val="both"/>
              <w:rPr>
                <w:b/>
                <w:bCs/>
                <w:sz w:val="20"/>
                <w:szCs w:val="22"/>
              </w:rPr>
            </w:pPr>
            <w:r w:rsidRPr="006F1CFC">
              <w:rPr>
                <w:b/>
                <w:bCs/>
                <w:sz w:val="20"/>
                <w:szCs w:val="22"/>
              </w:rPr>
              <w:t>YÜZ ÖLÇÜMÜ (m2)</w:t>
            </w:r>
          </w:p>
        </w:tc>
      </w:tr>
      <w:tr w:rsidR="006F1CFC" w:rsidRPr="006F1CFC" w:rsidTr="0039491A">
        <w:trPr>
          <w:trHeight w:val="227"/>
        </w:trPr>
        <w:tc>
          <w:tcPr>
            <w:tcW w:w="71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1CFC" w:rsidRPr="006F1CFC" w:rsidRDefault="006F1CFC" w:rsidP="006F1CFC">
            <w:pPr>
              <w:jc w:val="both"/>
              <w:rPr>
                <w:b/>
                <w:sz w:val="20"/>
                <w:szCs w:val="22"/>
              </w:rPr>
            </w:pPr>
            <w:r w:rsidRPr="006F1CFC">
              <w:rPr>
                <w:b/>
                <w:sz w:val="20"/>
                <w:szCs w:val="22"/>
              </w:rPr>
              <w:t>1</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6F1CFC" w:rsidRPr="006F1CFC" w:rsidRDefault="006F1CFC" w:rsidP="006F1CFC">
            <w:pPr>
              <w:jc w:val="both"/>
              <w:rPr>
                <w:sz w:val="20"/>
                <w:szCs w:val="22"/>
              </w:rPr>
            </w:pPr>
            <w:r w:rsidRPr="006F1CFC">
              <w:rPr>
                <w:sz w:val="20"/>
                <w:szCs w:val="22"/>
              </w:rPr>
              <w:t>ISPARTA</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6F1CFC" w:rsidRPr="006F1CFC" w:rsidRDefault="006F1CFC" w:rsidP="006F1CFC">
            <w:pPr>
              <w:jc w:val="both"/>
              <w:rPr>
                <w:sz w:val="20"/>
                <w:szCs w:val="22"/>
              </w:rPr>
            </w:pPr>
            <w:r w:rsidRPr="006F1CFC">
              <w:rPr>
                <w:sz w:val="20"/>
                <w:szCs w:val="22"/>
              </w:rPr>
              <w:t>Atabey</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6F1CFC" w:rsidRPr="006F1CFC" w:rsidRDefault="006F1CFC" w:rsidP="006F1CFC">
            <w:pPr>
              <w:jc w:val="both"/>
              <w:rPr>
                <w:sz w:val="20"/>
                <w:szCs w:val="22"/>
              </w:rPr>
            </w:pPr>
            <w:r w:rsidRPr="006F1CFC">
              <w:rPr>
                <w:sz w:val="20"/>
                <w:szCs w:val="22"/>
              </w:rPr>
              <w:t>Pembeli</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6F1CFC" w:rsidRPr="006F1CFC" w:rsidRDefault="006F1CFC" w:rsidP="006F1CFC">
            <w:pPr>
              <w:jc w:val="both"/>
              <w:rPr>
                <w:sz w:val="20"/>
                <w:szCs w:val="22"/>
              </w:rPr>
            </w:pPr>
            <w:r w:rsidRPr="006F1CFC">
              <w:rPr>
                <w:sz w:val="20"/>
                <w:szCs w:val="22"/>
              </w:rPr>
              <w:t>106 / 37</w:t>
            </w:r>
          </w:p>
        </w:tc>
        <w:tc>
          <w:tcPr>
            <w:tcW w:w="1704" w:type="dxa"/>
            <w:tcBorders>
              <w:top w:val="single" w:sz="4" w:space="0" w:color="auto"/>
              <w:left w:val="nil"/>
              <w:bottom w:val="single" w:sz="4" w:space="0" w:color="auto"/>
              <w:right w:val="single" w:sz="4" w:space="0" w:color="auto"/>
            </w:tcBorders>
            <w:shd w:val="clear" w:color="auto" w:fill="auto"/>
            <w:noWrap/>
            <w:hideMark/>
          </w:tcPr>
          <w:p w:rsidR="006F1CFC" w:rsidRPr="006F1CFC" w:rsidRDefault="006F1CFC" w:rsidP="006F1CFC">
            <w:pPr>
              <w:spacing w:line="276" w:lineRule="auto"/>
              <w:jc w:val="both"/>
              <w:rPr>
                <w:rFonts w:eastAsiaTheme="minorHAnsi"/>
                <w:sz w:val="20"/>
                <w:szCs w:val="22"/>
                <w:lang w:eastAsia="en-US"/>
              </w:rPr>
            </w:pPr>
            <w:proofErr w:type="spellStart"/>
            <w:r w:rsidRPr="006F1CFC">
              <w:rPr>
                <w:rFonts w:eastAsiaTheme="minorHAnsi"/>
                <w:sz w:val="20"/>
                <w:szCs w:val="22"/>
              </w:rPr>
              <w:t>Melaz</w:t>
            </w:r>
            <w:proofErr w:type="spellEnd"/>
            <w:r w:rsidRPr="006F1CFC">
              <w:rPr>
                <w:rFonts w:eastAsiaTheme="minorHAnsi"/>
                <w:sz w:val="20"/>
                <w:szCs w:val="22"/>
              </w:rPr>
              <w:t xml:space="preserve"> Enerji</w:t>
            </w:r>
            <w:r w:rsidRPr="006F1CFC">
              <w:rPr>
                <w:rFonts w:eastAsiaTheme="minorHAnsi"/>
                <w:sz w:val="20"/>
                <w:szCs w:val="22"/>
                <w:lang w:eastAsia="en-US"/>
              </w:rPr>
              <w:t xml:space="preserve"> San. A.Ş.</w:t>
            </w:r>
          </w:p>
        </w:tc>
        <w:tc>
          <w:tcPr>
            <w:tcW w:w="1381" w:type="dxa"/>
            <w:vMerge w:val="restart"/>
            <w:tcBorders>
              <w:top w:val="single" w:sz="4" w:space="0" w:color="auto"/>
              <w:left w:val="nil"/>
              <w:right w:val="single" w:sz="4" w:space="0" w:color="auto"/>
            </w:tcBorders>
            <w:shd w:val="clear" w:color="auto" w:fill="auto"/>
            <w:noWrap/>
            <w:vAlign w:val="center"/>
            <w:hideMark/>
          </w:tcPr>
          <w:p w:rsidR="006F1CFC" w:rsidRPr="006F1CFC" w:rsidRDefault="006F1CFC" w:rsidP="006F1CFC">
            <w:pPr>
              <w:jc w:val="both"/>
              <w:rPr>
                <w:sz w:val="20"/>
                <w:szCs w:val="22"/>
              </w:rPr>
            </w:pPr>
            <w:r w:rsidRPr="006F1CFC">
              <w:rPr>
                <w:sz w:val="20"/>
                <w:szCs w:val="22"/>
              </w:rPr>
              <w:t>400 KW</w:t>
            </w:r>
          </w:p>
          <w:p w:rsidR="006F1CFC" w:rsidRPr="006F1CFC" w:rsidRDefault="006F1CFC" w:rsidP="006F1CFC">
            <w:pPr>
              <w:jc w:val="both"/>
              <w:rPr>
                <w:sz w:val="20"/>
                <w:szCs w:val="22"/>
              </w:rPr>
            </w:pPr>
          </w:p>
        </w:tc>
        <w:tc>
          <w:tcPr>
            <w:tcW w:w="1389" w:type="dxa"/>
            <w:tcBorders>
              <w:top w:val="single" w:sz="4" w:space="0" w:color="auto"/>
              <w:left w:val="nil"/>
              <w:bottom w:val="single" w:sz="4" w:space="0" w:color="auto"/>
              <w:right w:val="single" w:sz="8" w:space="0" w:color="auto"/>
            </w:tcBorders>
            <w:shd w:val="clear" w:color="auto" w:fill="auto"/>
            <w:noWrap/>
            <w:vAlign w:val="center"/>
            <w:hideMark/>
          </w:tcPr>
          <w:p w:rsidR="006F1CFC" w:rsidRPr="006F1CFC" w:rsidRDefault="006F1CFC" w:rsidP="006F1CFC">
            <w:pPr>
              <w:jc w:val="both"/>
              <w:rPr>
                <w:sz w:val="20"/>
                <w:szCs w:val="22"/>
              </w:rPr>
            </w:pPr>
            <w:r w:rsidRPr="006F1CFC">
              <w:rPr>
                <w:sz w:val="20"/>
                <w:szCs w:val="22"/>
              </w:rPr>
              <w:t>4.566,16</w:t>
            </w:r>
          </w:p>
        </w:tc>
      </w:tr>
      <w:tr w:rsidR="006F1CFC" w:rsidRPr="006F1CFC" w:rsidTr="0039491A">
        <w:trPr>
          <w:trHeight w:val="216"/>
        </w:trPr>
        <w:tc>
          <w:tcPr>
            <w:tcW w:w="714" w:type="dxa"/>
            <w:tcBorders>
              <w:top w:val="nil"/>
              <w:left w:val="single" w:sz="8" w:space="0" w:color="auto"/>
              <w:bottom w:val="single" w:sz="4" w:space="0" w:color="auto"/>
              <w:right w:val="single" w:sz="4" w:space="0" w:color="auto"/>
            </w:tcBorders>
            <w:shd w:val="clear" w:color="auto" w:fill="auto"/>
            <w:noWrap/>
            <w:vAlign w:val="center"/>
            <w:hideMark/>
          </w:tcPr>
          <w:p w:rsidR="006F1CFC" w:rsidRPr="006F1CFC" w:rsidRDefault="006F1CFC" w:rsidP="006F1CFC">
            <w:pPr>
              <w:jc w:val="both"/>
              <w:rPr>
                <w:b/>
                <w:sz w:val="20"/>
                <w:szCs w:val="22"/>
              </w:rPr>
            </w:pPr>
            <w:r w:rsidRPr="006F1CFC">
              <w:rPr>
                <w:b/>
                <w:sz w:val="20"/>
                <w:szCs w:val="22"/>
              </w:rPr>
              <w:t>2</w:t>
            </w:r>
          </w:p>
        </w:tc>
        <w:tc>
          <w:tcPr>
            <w:tcW w:w="1141" w:type="dxa"/>
            <w:tcBorders>
              <w:top w:val="nil"/>
              <w:left w:val="nil"/>
              <w:bottom w:val="single" w:sz="4" w:space="0" w:color="auto"/>
              <w:right w:val="single" w:sz="4" w:space="0" w:color="auto"/>
            </w:tcBorders>
            <w:shd w:val="clear" w:color="auto" w:fill="auto"/>
            <w:noWrap/>
            <w:vAlign w:val="center"/>
            <w:hideMark/>
          </w:tcPr>
          <w:p w:rsidR="006F1CFC" w:rsidRPr="006F1CFC" w:rsidRDefault="006F1CFC" w:rsidP="006F1CFC">
            <w:pPr>
              <w:jc w:val="both"/>
              <w:rPr>
                <w:sz w:val="20"/>
                <w:szCs w:val="22"/>
              </w:rPr>
            </w:pPr>
            <w:r w:rsidRPr="006F1CFC">
              <w:rPr>
                <w:sz w:val="20"/>
                <w:szCs w:val="22"/>
              </w:rPr>
              <w:t>ISPARTA</w:t>
            </w:r>
          </w:p>
        </w:tc>
        <w:tc>
          <w:tcPr>
            <w:tcW w:w="1474" w:type="dxa"/>
            <w:tcBorders>
              <w:top w:val="nil"/>
              <w:left w:val="nil"/>
              <w:bottom w:val="single" w:sz="4" w:space="0" w:color="auto"/>
              <w:right w:val="single" w:sz="4" w:space="0" w:color="auto"/>
            </w:tcBorders>
            <w:shd w:val="clear" w:color="auto" w:fill="auto"/>
            <w:noWrap/>
            <w:vAlign w:val="center"/>
            <w:hideMark/>
          </w:tcPr>
          <w:p w:rsidR="006F1CFC" w:rsidRPr="006F1CFC" w:rsidRDefault="006F1CFC" w:rsidP="006F1CFC">
            <w:pPr>
              <w:jc w:val="both"/>
              <w:rPr>
                <w:sz w:val="20"/>
                <w:szCs w:val="22"/>
              </w:rPr>
            </w:pPr>
            <w:r w:rsidRPr="006F1CFC">
              <w:rPr>
                <w:sz w:val="20"/>
                <w:szCs w:val="22"/>
              </w:rPr>
              <w:t>Atabey</w:t>
            </w:r>
          </w:p>
        </w:tc>
        <w:tc>
          <w:tcPr>
            <w:tcW w:w="1141" w:type="dxa"/>
            <w:tcBorders>
              <w:top w:val="nil"/>
              <w:left w:val="nil"/>
              <w:bottom w:val="single" w:sz="4" w:space="0" w:color="auto"/>
              <w:right w:val="single" w:sz="4" w:space="0" w:color="auto"/>
            </w:tcBorders>
            <w:shd w:val="clear" w:color="auto" w:fill="auto"/>
            <w:noWrap/>
            <w:vAlign w:val="center"/>
            <w:hideMark/>
          </w:tcPr>
          <w:p w:rsidR="006F1CFC" w:rsidRPr="006F1CFC" w:rsidRDefault="006F1CFC" w:rsidP="006F1CFC">
            <w:pPr>
              <w:jc w:val="both"/>
              <w:rPr>
                <w:sz w:val="20"/>
                <w:szCs w:val="22"/>
              </w:rPr>
            </w:pPr>
            <w:r w:rsidRPr="006F1CFC">
              <w:rPr>
                <w:sz w:val="20"/>
                <w:szCs w:val="22"/>
              </w:rPr>
              <w:t>Pembeli</w:t>
            </w:r>
          </w:p>
        </w:tc>
        <w:tc>
          <w:tcPr>
            <w:tcW w:w="1087" w:type="dxa"/>
            <w:tcBorders>
              <w:top w:val="nil"/>
              <w:left w:val="nil"/>
              <w:bottom w:val="single" w:sz="4" w:space="0" w:color="auto"/>
              <w:right w:val="single" w:sz="4" w:space="0" w:color="auto"/>
            </w:tcBorders>
            <w:shd w:val="clear" w:color="auto" w:fill="auto"/>
            <w:noWrap/>
            <w:vAlign w:val="center"/>
            <w:hideMark/>
          </w:tcPr>
          <w:p w:rsidR="006F1CFC" w:rsidRPr="006F1CFC" w:rsidRDefault="006F1CFC" w:rsidP="006F1CFC">
            <w:pPr>
              <w:jc w:val="both"/>
              <w:rPr>
                <w:sz w:val="20"/>
                <w:szCs w:val="22"/>
              </w:rPr>
            </w:pPr>
            <w:r w:rsidRPr="006F1CFC">
              <w:rPr>
                <w:sz w:val="20"/>
                <w:szCs w:val="22"/>
              </w:rPr>
              <w:t>106 / 40</w:t>
            </w:r>
          </w:p>
        </w:tc>
        <w:tc>
          <w:tcPr>
            <w:tcW w:w="1704" w:type="dxa"/>
            <w:tcBorders>
              <w:top w:val="nil"/>
              <w:left w:val="nil"/>
              <w:bottom w:val="single" w:sz="4" w:space="0" w:color="auto"/>
              <w:right w:val="single" w:sz="4" w:space="0" w:color="auto"/>
            </w:tcBorders>
            <w:shd w:val="clear" w:color="auto" w:fill="auto"/>
            <w:noWrap/>
            <w:hideMark/>
          </w:tcPr>
          <w:p w:rsidR="006F1CFC" w:rsidRPr="006F1CFC" w:rsidRDefault="006F1CFC" w:rsidP="006F1CFC">
            <w:pPr>
              <w:spacing w:line="276" w:lineRule="auto"/>
              <w:jc w:val="both"/>
              <w:rPr>
                <w:rFonts w:eastAsiaTheme="minorHAnsi"/>
                <w:sz w:val="20"/>
                <w:szCs w:val="22"/>
                <w:lang w:eastAsia="en-US"/>
              </w:rPr>
            </w:pPr>
            <w:proofErr w:type="spellStart"/>
            <w:r w:rsidRPr="006F1CFC">
              <w:rPr>
                <w:rFonts w:eastAsiaTheme="minorHAnsi"/>
                <w:sz w:val="20"/>
                <w:szCs w:val="22"/>
              </w:rPr>
              <w:t>Melaz</w:t>
            </w:r>
            <w:proofErr w:type="spellEnd"/>
            <w:r w:rsidRPr="006F1CFC">
              <w:rPr>
                <w:rFonts w:eastAsiaTheme="minorHAnsi"/>
                <w:sz w:val="20"/>
                <w:szCs w:val="22"/>
              </w:rPr>
              <w:t xml:space="preserve"> Enerji</w:t>
            </w:r>
            <w:r w:rsidRPr="006F1CFC">
              <w:rPr>
                <w:rFonts w:eastAsiaTheme="minorHAnsi"/>
                <w:sz w:val="20"/>
                <w:szCs w:val="22"/>
                <w:lang w:eastAsia="en-US"/>
              </w:rPr>
              <w:t xml:space="preserve"> San. A.Ş.</w:t>
            </w:r>
          </w:p>
        </w:tc>
        <w:tc>
          <w:tcPr>
            <w:tcW w:w="1381" w:type="dxa"/>
            <w:vMerge/>
            <w:tcBorders>
              <w:left w:val="nil"/>
              <w:bottom w:val="single" w:sz="4" w:space="0" w:color="auto"/>
              <w:right w:val="single" w:sz="4" w:space="0" w:color="auto"/>
            </w:tcBorders>
            <w:shd w:val="clear" w:color="auto" w:fill="auto"/>
            <w:noWrap/>
            <w:vAlign w:val="center"/>
            <w:hideMark/>
          </w:tcPr>
          <w:p w:rsidR="006F1CFC" w:rsidRPr="006F1CFC" w:rsidRDefault="006F1CFC" w:rsidP="006F1CFC">
            <w:pPr>
              <w:jc w:val="both"/>
              <w:rPr>
                <w:sz w:val="20"/>
                <w:szCs w:val="22"/>
              </w:rPr>
            </w:pPr>
          </w:p>
        </w:tc>
        <w:tc>
          <w:tcPr>
            <w:tcW w:w="1389" w:type="dxa"/>
            <w:tcBorders>
              <w:top w:val="nil"/>
              <w:left w:val="nil"/>
              <w:bottom w:val="single" w:sz="4" w:space="0" w:color="auto"/>
              <w:right w:val="single" w:sz="8" w:space="0" w:color="auto"/>
            </w:tcBorders>
            <w:shd w:val="clear" w:color="auto" w:fill="auto"/>
            <w:noWrap/>
            <w:vAlign w:val="center"/>
            <w:hideMark/>
          </w:tcPr>
          <w:p w:rsidR="006F1CFC" w:rsidRPr="006F1CFC" w:rsidRDefault="006F1CFC" w:rsidP="006F1CFC">
            <w:pPr>
              <w:jc w:val="both"/>
              <w:rPr>
                <w:sz w:val="20"/>
                <w:szCs w:val="22"/>
              </w:rPr>
            </w:pPr>
            <w:r w:rsidRPr="006F1CFC">
              <w:rPr>
                <w:sz w:val="20"/>
                <w:szCs w:val="22"/>
              </w:rPr>
              <w:t>4.032,21</w:t>
            </w:r>
          </w:p>
        </w:tc>
      </w:tr>
    </w:tbl>
    <w:p w:rsidR="006F1CFC" w:rsidRPr="006F1CFC" w:rsidRDefault="006F1CFC" w:rsidP="006F1CFC">
      <w:pPr>
        <w:spacing w:line="276" w:lineRule="auto"/>
        <w:ind w:firstLine="708"/>
        <w:jc w:val="both"/>
      </w:pPr>
    </w:p>
    <w:p w:rsidR="006F1CFC" w:rsidRPr="006F1CFC" w:rsidRDefault="006F1CFC" w:rsidP="006F1CFC">
      <w:pPr>
        <w:spacing w:line="276" w:lineRule="auto"/>
        <w:ind w:firstLine="708"/>
        <w:jc w:val="both"/>
        <w:rPr>
          <w:rFonts w:eastAsiaTheme="minorHAnsi"/>
          <w:lang w:eastAsia="en-US"/>
        </w:rPr>
      </w:pPr>
      <w:r w:rsidRPr="006F1CFC">
        <w:rPr>
          <w:rFonts w:eastAsiaTheme="minorHAnsi"/>
          <w:lang w:eastAsia="en-US"/>
        </w:rPr>
        <w:t xml:space="preserve">Anılan alana “Yenilenebilir Enerji Sistemleri Dayalı Güneş Enerjisi Santrali (GES)” kurulabilmesi için Akdeniz Elektrik Dağıtım A.Ş. tarafından </w:t>
      </w:r>
      <w:proofErr w:type="spellStart"/>
      <w:r w:rsidRPr="006F1CFC">
        <w:rPr>
          <w:rFonts w:eastAsiaTheme="minorHAnsi"/>
        </w:rPr>
        <w:t>Melaz</w:t>
      </w:r>
      <w:proofErr w:type="spellEnd"/>
      <w:r w:rsidRPr="006F1CFC">
        <w:rPr>
          <w:rFonts w:eastAsiaTheme="minorHAnsi"/>
        </w:rPr>
        <w:t xml:space="preserve"> Enerji</w:t>
      </w:r>
      <w:r w:rsidRPr="006F1CFC">
        <w:rPr>
          <w:rFonts w:eastAsiaTheme="minorHAnsi"/>
          <w:lang w:eastAsia="en-US"/>
        </w:rPr>
        <w:t xml:space="preserve"> A.Ş. adına 400 kW gücünde </w:t>
      </w:r>
      <w:proofErr w:type="gramStart"/>
      <w:r w:rsidRPr="006F1CFC">
        <w:rPr>
          <w:rFonts w:eastAsiaTheme="minorHAnsi"/>
          <w:lang w:eastAsia="en-US"/>
        </w:rPr>
        <w:t>02/08/2022</w:t>
      </w:r>
      <w:proofErr w:type="gramEnd"/>
      <w:r w:rsidRPr="006F1CFC">
        <w:rPr>
          <w:rFonts w:eastAsiaTheme="minorHAnsi"/>
          <w:lang w:eastAsia="en-US"/>
        </w:rPr>
        <w:t xml:space="preserve"> tarih ve 218382 sayılı bağlantı görüşü ve çağrı mektubu bulunmaktadır.</w:t>
      </w:r>
    </w:p>
    <w:p w:rsidR="006F1CFC" w:rsidRPr="006F1CFC" w:rsidRDefault="006F1CFC" w:rsidP="006F1CFC">
      <w:pPr>
        <w:spacing w:line="276" w:lineRule="auto"/>
        <w:ind w:firstLine="708"/>
        <w:jc w:val="both"/>
        <w:rPr>
          <w:rFonts w:eastAsiaTheme="minorHAnsi"/>
          <w:lang w:eastAsia="en-US"/>
        </w:rPr>
      </w:pPr>
      <w:r w:rsidRPr="006F1CFC">
        <w:t xml:space="preserve">Planlama alanına ait imar planına esas kurum ve kuruluş görüşleri plan müellifi </w:t>
      </w:r>
      <w:r w:rsidRPr="006F1CFC">
        <w:rPr>
          <w:rFonts w:eastAsiaTheme="minorHAnsi"/>
          <w:lang w:eastAsia="en-US"/>
        </w:rPr>
        <w:t>Ramazan BALCI tarafından alınmıştır.</w:t>
      </w:r>
    </w:p>
    <w:p w:rsidR="006F1CFC" w:rsidRPr="006F1CFC" w:rsidRDefault="006F1CFC" w:rsidP="006F1CFC">
      <w:pPr>
        <w:spacing w:line="276" w:lineRule="auto"/>
        <w:ind w:firstLine="708"/>
        <w:jc w:val="both"/>
        <w:rPr>
          <w:rFonts w:eastAsiaTheme="minorHAnsi"/>
          <w:lang w:eastAsia="en-US"/>
        </w:rPr>
      </w:pPr>
      <w:r w:rsidRPr="006F1CFC">
        <w:rPr>
          <w:rFonts w:eastAsiaTheme="minorHAnsi"/>
          <w:lang w:eastAsia="en-US"/>
        </w:rPr>
        <w:t>Plan Müellifince planlama 106 ada 37 ve 40 </w:t>
      </w:r>
      <w:r w:rsidRPr="006F1CFC">
        <w:t xml:space="preserve">parseller </w:t>
      </w:r>
      <w:r w:rsidRPr="006F1CFC">
        <w:rPr>
          <w:rFonts w:eastAsiaTheme="minorHAnsi"/>
          <w:lang w:eastAsia="en-US"/>
        </w:rPr>
        <w:t xml:space="preserve">üzerine </w:t>
      </w:r>
      <w:r w:rsidRPr="006F1CFC">
        <w:t>“Yenilenebilir Enerji Kaynaklarına Dayalı Üretim Tesis Alanı (Lisanssız Güneş Enerji Santrali (GES))”</w:t>
      </w:r>
      <w:r w:rsidRPr="006F1CFC">
        <w:rPr>
          <w:rFonts w:eastAsiaTheme="minorHAnsi"/>
          <w:lang w:eastAsia="en-US"/>
        </w:rPr>
        <w:t xml:space="preserve"> imar planına esas kurum görüşü sorulmuş olup imar planı teklifi ile birlikte İ</w:t>
      </w:r>
      <w:r>
        <w:rPr>
          <w:rFonts w:eastAsiaTheme="minorHAnsi"/>
          <w:lang w:eastAsia="en-US"/>
        </w:rPr>
        <w:t>l Özel İdaresine</w:t>
      </w:r>
      <w:r w:rsidRPr="006F1CFC">
        <w:rPr>
          <w:rFonts w:eastAsiaTheme="minorHAnsi"/>
          <w:lang w:eastAsia="en-US"/>
        </w:rPr>
        <w:t xml:space="preserve"> sunulmuştur. </w:t>
      </w:r>
    </w:p>
    <w:p w:rsidR="006F1CFC" w:rsidRPr="006F1CFC" w:rsidRDefault="006F1CFC" w:rsidP="006F1CFC">
      <w:pPr>
        <w:spacing w:line="276" w:lineRule="auto"/>
        <w:ind w:firstLine="708"/>
        <w:jc w:val="both"/>
        <w:rPr>
          <w:rFonts w:eastAsiaTheme="minorHAnsi"/>
          <w:lang w:eastAsia="en-US"/>
        </w:rPr>
      </w:pPr>
      <w:r w:rsidRPr="006F1CFC">
        <w:rPr>
          <w:rFonts w:eastAsiaTheme="minorHAnsi"/>
          <w:lang w:eastAsia="en-US"/>
        </w:rPr>
        <w:t>İmar Planlarına esas;</w:t>
      </w:r>
    </w:p>
    <w:p w:rsidR="006F1CFC" w:rsidRPr="006F1CFC" w:rsidRDefault="006F1CFC" w:rsidP="006F1CFC">
      <w:pPr>
        <w:numPr>
          <w:ilvl w:val="0"/>
          <w:numId w:val="1"/>
        </w:numPr>
        <w:autoSpaceDE w:val="0"/>
        <w:autoSpaceDN w:val="0"/>
        <w:adjustRightInd w:val="0"/>
        <w:spacing w:line="276" w:lineRule="auto"/>
        <w:contextualSpacing/>
        <w:jc w:val="both"/>
        <w:rPr>
          <w:rFonts w:eastAsiaTheme="minorHAnsi"/>
          <w:lang w:eastAsia="en-US"/>
        </w:rPr>
      </w:pPr>
      <w:r w:rsidRPr="006F1CFC">
        <w:rPr>
          <w:rFonts w:eastAsiaTheme="minorHAnsi"/>
          <w:lang w:eastAsia="en-US"/>
        </w:rPr>
        <w:t>Bila tarih ve E-</w:t>
      </w:r>
      <w:proofErr w:type="gramStart"/>
      <w:r w:rsidRPr="006F1CFC">
        <w:rPr>
          <w:rFonts w:eastAsiaTheme="minorHAnsi"/>
          <w:lang w:eastAsia="en-US"/>
        </w:rPr>
        <w:t>69776125</w:t>
      </w:r>
      <w:proofErr w:type="gramEnd"/>
      <w:r w:rsidRPr="006F1CFC">
        <w:rPr>
          <w:rFonts w:eastAsiaTheme="minorHAnsi"/>
          <w:lang w:eastAsia="en-US"/>
        </w:rPr>
        <w:t>-952.99-445691sayılı</w:t>
      </w:r>
      <w:r w:rsidRPr="006F1CFC">
        <w:rPr>
          <w:rFonts w:eastAsia="Calibri"/>
          <w:lang w:eastAsia="en-US"/>
        </w:rPr>
        <w:t xml:space="preserve"> </w:t>
      </w:r>
      <w:r w:rsidRPr="006F1CFC">
        <w:rPr>
          <w:rFonts w:eastAsia="Calibri"/>
          <w:b/>
          <w:lang w:eastAsia="en-US"/>
        </w:rPr>
        <w:t>İl Afet ve Acil Durum Müdürlüğünün</w:t>
      </w:r>
      <w:r w:rsidRPr="006F1CFC">
        <w:rPr>
          <w:rFonts w:eastAsia="Calibri"/>
          <w:lang w:eastAsia="en-US"/>
        </w:rPr>
        <w:t xml:space="preserve"> yazısında;  alanda </w:t>
      </w:r>
      <w:r w:rsidRPr="006F1CFC">
        <w:rPr>
          <w:rFonts w:eastAsiaTheme="minorHAnsi"/>
          <w:lang w:eastAsia="en-US"/>
        </w:rPr>
        <w:t>"Afete Maruz Böl</w:t>
      </w:r>
      <w:r>
        <w:rPr>
          <w:rFonts w:eastAsiaTheme="minorHAnsi"/>
          <w:lang w:eastAsia="en-US"/>
        </w:rPr>
        <w:t>ge Kararı” bulunmadığı, heyelan</w:t>
      </w:r>
      <w:r w:rsidRPr="006F1CFC">
        <w:rPr>
          <w:rFonts w:eastAsiaTheme="minorHAnsi"/>
          <w:lang w:eastAsia="en-US"/>
        </w:rPr>
        <w:t>, çığ vb. afet tehlikesine ilişkin gözlemsel incelemelerde herhangi bir risk tespit edilmediği, "İmar Planına Esas J</w:t>
      </w:r>
      <w:r>
        <w:rPr>
          <w:rFonts w:eastAsiaTheme="minorHAnsi"/>
          <w:lang w:eastAsia="en-US"/>
        </w:rPr>
        <w:t>eolojik-</w:t>
      </w:r>
      <w:proofErr w:type="spellStart"/>
      <w:r>
        <w:rPr>
          <w:rFonts w:eastAsiaTheme="minorHAnsi"/>
          <w:lang w:eastAsia="en-US"/>
        </w:rPr>
        <w:t>Jeoteknik</w:t>
      </w:r>
      <w:proofErr w:type="spellEnd"/>
      <w:r>
        <w:rPr>
          <w:rFonts w:eastAsiaTheme="minorHAnsi"/>
          <w:lang w:eastAsia="en-US"/>
        </w:rPr>
        <w:t xml:space="preserve"> Etüt Rapor</w:t>
      </w:r>
      <w:r w:rsidRPr="006F1CFC">
        <w:rPr>
          <w:rFonts w:eastAsiaTheme="minorHAnsi"/>
          <w:lang w:eastAsia="en-US"/>
        </w:rPr>
        <w:t>unda uygunluk durumunun ayrıntılı olarak incelenmesi şartı ile</w:t>
      </w:r>
      <w:r w:rsidRPr="006F1CFC">
        <w:rPr>
          <w:rFonts w:eastAsia="Calibri"/>
          <w:lang w:eastAsia="en-US"/>
        </w:rPr>
        <w:t xml:space="preserve"> herhangi bir sakınca olmadığı bildirilmiştir. </w:t>
      </w:r>
    </w:p>
    <w:p w:rsidR="006F1CFC" w:rsidRPr="006F1CFC" w:rsidRDefault="006F1CFC" w:rsidP="006F1CFC">
      <w:pPr>
        <w:numPr>
          <w:ilvl w:val="0"/>
          <w:numId w:val="2"/>
        </w:numPr>
        <w:spacing w:line="276" w:lineRule="auto"/>
        <w:contextualSpacing/>
        <w:jc w:val="both"/>
        <w:rPr>
          <w:rFonts w:eastAsia="Calibri"/>
          <w:lang w:eastAsia="en-US"/>
        </w:rPr>
      </w:pPr>
      <w:r w:rsidRPr="006F1CFC">
        <w:rPr>
          <w:rFonts w:eastAsiaTheme="minorHAnsi"/>
          <w:lang w:eastAsia="en-US"/>
        </w:rPr>
        <w:t>Bila tarih ve E-</w:t>
      </w:r>
      <w:proofErr w:type="gramStart"/>
      <w:r w:rsidRPr="006F1CFC">
        <w:rPr>
          <w:rFonts w:eastAsiaTheme="minorHAnsi"/>
          <w:lang w:eastAsia="en-US"/>
        </w:rPr>
        <w:t>22563589</w:t>
      </w:r>
      <w:proofErr w:type="gramEnd"/>
      <w:r w:rsidRPr="006F1CFC">
        <w:rPr>
          <w:rFonts w:eastAsiaTheme="minorHAnsi"/>
          <w:lang w:eastAsia="en-US"/>
        </w:rPr>
        <w:t xml:space="preserve">-169.12-3664466 sayılı Isparta Valiliği </w:t>
      </w:r>
      <w:r w:rsidRPr="006F1CFC">
        <w:rPr>
          <w:rFonts w:eastAsiaTheme="minorHAnsi"/>
          <w:b/>
          <w:lang w:eastAsia="en-US"/>
        </w:rPr>
        <w:t xml:space="preserve">İl Kültür ve Turizm Müdürlüğü'nün </w:t>
      </w:r>
      <w:r w:rsidRPr="006F1CFC">
        <w:rPr>
          <w:rFonts w:eastAsiaTheme="minorHAnsi"/>
          <w:lang w:eastAsia="en-US"/>
        </w:rPr>
        <w:t xml:space="preserve">ekinde yer alan tespit ve inceleme raporuna göre 2634 sayılı Turizm Teşvik Kanunu ve Turizm Kanunu açısından sakınca bulunmadığı bildirilmiştir. </w:t>
      </w:r>
      <w:proofErr w:type="gramStart"/>
      <w:r w:rsidRPr="006F1CFC">
        <w:rPr>
          <w:rFonts w:eastAsiaTheme="minorHAnsi"/>
          <w:lang w:eastAsia="en-US"/>
        </w:rPr>
        <w:t xml:space="preserve">Ayrıca ilgi yazı ekinde yer alan </w:t>
      </w:r>
      <w:r w:rsidRPr="006F1CFC">
        <w:rPr>
          <w:rFonts w:eastAsia="Calibri"/>
          <w:lang w:eastAsia="en-US"/>
        </w:rPr>
        <w:t xml:space="preserve">Isparta Müze Müdürlüğünün 07.04.2023 tarihli raporunda; </w:t>
      </w:r>
      <w:r w:rsidRPr="006F1CFC">
        <w:rPr>
          <w:rFonts w:eastAsiaTheme="minorHAnsi"/>
          <w:lang w:eastAsia="en-US"/>
        </w:rPr>
        <w:t xml:space="preserve">yapılan incelemede </w:t>
      </w:r>
      <w:r w:rsidRPr="006F1CFC">
        <w:rPr>
          <w:rFonts w:eastAsiaTheme="minorHAnsi"/>
          <w:lang w:eastAsia="x-none"/>
        </w:rPr>
        <w:t>2863 sayılı Yasa kapsamında herhangi bir taşınır ya da taşınmaz kültür varlığı kalıntısı ile karşılaşılma</w:t>
      </w:r>
      <w:r w:rsidRPr="006F1CFC">
        <w:rPr>
          <w:rFonts w:eastAsia="Calibri"/>
          <w:lang w:eastAsia="en-US"/>
        </w:rPr>
        <w:t xml:space="preserve">dığı </w:t>
      </w:r>
      <w:r w:rsidRPr="006F1CFC">
        <w:rPr>
          <w:rFonts w:eastAsia="Calibri"/>
          <w:lang w:eastAsia="en-US"/>
        </w:rPr>
        <w:lastRenderedPageBreak/>
        <w:t xml:space="preserve">anılan yasa kapsamında tescili yapılmış mevcut arkeolojik sit alanı içerisinde yer almadığı, ayrıca fiziki </w:t>
      </w:r>
      <w:r w:rsidRPr="006F1CFC">
        <w:rPr>
          <w:rFonts w:eastAsiaTheme="minorHAnsi"/>
          <w:lang w:eastAsia="en-US"/>
        </w:rPr>
        <w:t>uygulamalar sırasında taşınır veya taşınmaz herhangi bir kültür varlığına rastlanılması halinde çalışmaların durdurularak Müdürlüklerine haber verilmesi koşuluyla;</w:t>
      </w:r>
      <w:r w:rsidRPr="006F1CFC">
        <w:rPr>
          <w:rFonts w:eastAsia="Calibri"/>
          <w:lang w:eastAsia="en-US"/>
        </w:rPr>
        <w:t xml:space="preserve"> </w:t>
      </w:r>
      <w:r w:rsidRPr="006F1CFC">
        <w:rPr>
          <w:rFonts w:eastAsiaTheme="minorHAnsi"/>
          <w:lang w:eastAsia="en-US"/>
        </w:rPr>
        <w:t xml:space="preserve">Güneş enerjisi Santrali (GES) </w:t>
      </w:r>
      <w:r w:rsidRPr="006F1CFC">
        <w:rPr>
          <w:rFonts w:eastAsia="Calibri"/>
          <w:lang w:eastAsia="en-US"/>
        </w:rPr>
        <w:t xml:space="preserve">yapılmasında sakınca olmadığı bildirilmiştir. </w:t>
      </w:r>
      <w:proofErr w:type="gramEnd"/>
    </w:p>
    <w:p w:rsidR="006F1CFC" w:rsidRPr="006F1CFC" w:rsidRDefault="006F1CFC" w:rsidP="006F1CFC">
      <w:pPr>
        <w:numPr>
          <w:ilvl w:val="0"/>
          <w:numId w:val="2"/>
        </w:numPr>
        <w:spacing w:line="276" w:lineRule="auto"/>
        <w:contextualSpacing/>
        <w:jc w:val="both"/>
        <w:rPr>
          <w:rFonts w:eastAsiaTheme="minorHAnsi"/>
          <w:lang w:eastAsia="en-US"/>
        </w:rPr>
      </w:pPr>
      <w:proofErr w:type="gramStart"/>
      <w:r w:rsidRPr="006F1CFC">
        <w:rPr>
          <w:rFonts w:eastAsiaTheme="minorHAnsi"/>
          <w:b/>
          <w:bCs/>
          <w:lang w:eastAsia="en-US"/>
        </w:rPr>
        <w:t xml:space="preserve">18.11.2022 tarih ve 245866 sayılı </w:t>
      </w:r>
      <w:r w:rsidRPr="006F1CFC">
        <w:rPr>
          <w:rFonts w:eastAsia="Calibri"/>
          <w:b/>
          <w:lang w:eastAsia="en-US"/>
        </w:rPr>
        <w:t>Akdeniz Elektrik Dağıtım A.Ş.</w:t>
      </w:r>
      <w:r w:rsidRPr="006F1CFC">
        <w:rPr>
          <w:rFonts w:eastAsia="Calibri"/>
          <w:lang w:eastAsia="en-US"/>
        </w:rPr>
        <w:t xml:space="preserve"> yazısında;</w:t>
      </w:r>
      <w:r w:rsidRPr="006F1CFC">
        <w:rPr>
          <w:rFonts w:eastAsiaTheme="minorHAnsi"/>
          <w:lang w:eastAsia="en-US"/>
        </w:rPr>
        <w:t xml:space="preserve"> yola cephe olacak şekilde 4x8 m ebatlarında 1 adet trafo yeri ayrılması koşuluyla Yenilenebilir Enerji Kaynaklarına Dayalı Üretim Tesis Alanı Amaçlı 1/5.000 Ölçekli Nazım ve 1/1.000 Ölçekli Uygulama İmar Planı yapılmasında Şirketlerince herhangi bir sakınca bulunmadığı bildirilmiştir.</w:t>
      </w:r>
      <w:r w:rsidRPr="006F1CFC">
        <w:rPr>
          <w:rFonts w:eastAsiaTheme="minorHAnsi"/>
          <w:lang w:eastAsia="x-none"/>
        </w:rPr>
        <w:t xml:space="preserve"> </w:t>
      </w:r>
      <w:proofErr w:type="gramEnd"/>
    </w:p>
    <w:p w:rsidR="006F1CFC" w:rsidRPr="006F1CFC" w:rsidRDefault="006F1CFC" w:rsidP="006F1CFC">
      <w:pPr>
        <w:numPr>
          <w:ilvl w:val="0"/>
          <w:numId w:val="2"/>
        </w:numPr>
        <w:spacing w:line="276" w:lineRule="auto"/>
        <w:contextualSpacing/>
        <w:jc w:val="both"/>
        <w:rPr>
          <w:rFonts w:eastAsiaTheme="minorHAnsi"/>
          <w:lang w:eastAsia="en-US"/>
        </w:rPr>
      </w:pPr>
      <w:r w:rsidRPr="006F1CFC">
        <w:rPr>
          <w:rFonts w:eastAsiaTheme="minorHAnsi"/>
          <w:lang w:eastAsia="en-US"/>
        </w:rPr>
        <w:t>06.02.2023 tarih ve E-</w:t>
      </w:r>
      <w:proofErr w:type="gramStart"/>
      <w:r w:rsidRPr="006F1CFC">
        <w:rPr>
          <w:rFonts w:eastAsiaTheme="minorHAnsi"/>
          <w:lang w:eastAsia="en-US"/>
        </w:rPr>
        <w:t>15099885</w:t>
      </w:r>
      <w:proofErr w:type="gramEnd"/>
      <w:r w:rsidRPr="006F1CFC">
        <w:rPr>
          <w:rFonts w:eastAsiaTheme="minorHAnsi"/>
          <w:lang w:eastAsia="en-US"/>
        </w:rPr>
        <w:t xml:space="preserve">-754-5678647 sayılı </w:t>
      </w:r>
      <w:r w:rsidRPr="006F1CFC">
        <w:rPr>
          <w:rFonts w:eastAsia="Calibri"/>
          <w:b/>
          <w:lang w:eastAsia="en-US"/>
        </w:rPr>
        <w:t>Çevre ve Şehircilik İl Müdürlüğünün</w:t>
      </w:r>
      <w:r w:rsidRPr="006F1CFC">
        <w:rPr>
          <w:rFonts w:eastAsia="Calibri"/>
          <w:lang w:eastAsia="en-US"/>
        </w:rPr>
        <w:t xml:space="preserve"> kurum görüşünde; söz konusu alanların 2863 Sayılı Kültür ve Tabiat Varlıklarını Koruma Kanunu uyarınca ilan edilen doğal sit sınırları dışında kaldığı, </w:t>
      </w:r>
      <w:r w:rsidRPr="006F1CFC">
        <w:rPr>
          <w:rFonts w:eastAsiaTheme="minorHAnsi"/>
          <w:lang w:eastAsia="en-US"/>
        </w:rPr>
        <w:t xml:space="preserve">Antalya-Burdur-Isparta Planlama Bölgesi 1/100.000 ölçekli Çevre Düzeni Planında (ÇDP) </w:t>
      </w:r>
      <w:r w:rsidRPr="006F1CFC">
        <w:rPr>
          <w:rFonts w:eastAsiaTheme="minorHAnsi"/>
          <w:iCs/>
          <w:lang w:eastAsia="en-US"/>
        </w:rPr>
        <w:t xml:space="preserve">taşınmazların </w:t>
      </w:r>
      <w:r w:rsidRPr="006F1CFC">
        <w:rPr>
          <w:rFonts w:eastAsiaTheme="minorHAnsi"/>
          <w:bCs/>
          <w:i/>
          <w:iCs/>
          <w:lang w:eastAsia="en-US"/>
        </w:rPr>
        <w:t xml:space="preserve">"Tarım Arazisi" </w:t>
      </w:r>
      <w:r w:rsidRPr="006F1CFC">
        <w:rPr>
          <w:rFonts w:eastAsiaTheme="minorHAnsi"/>
          <w:lang w:eastAsia="en-US"/>
        </w:rPr>
        <w:t xml:space="preserve">ve </w:t>
      </w:r>
      <w:r w:rsidRPr="006F1CFC">
        <w:rPr>
          <w:rFonts w:eastAsiaTheme="minorHAnsi"/>
          <w:bCs/>
          <w:i/>
          <w:iCs/>
          <w:lang w:eastAsia="en-US"/>
        </w:rPr>
        <w:t xml:space="preserve">"Diğer Koruma Alanları" </w:t>
      </w:r>
      <w:r w:rsidRPr="006F1CFC">
        <w:rPr>
          <w:rFonts w:eastAsiaTheme="minorHAnsi"/>
          <w:lang w:eastAsia="en-US"/>
        </w:rPr>
        <w:t xml:space="preserve">başlığı altında </w:t>
      </w:r>
      <w:r w:rsidRPr="006F1CFC">
        <w:rPr>
          <w:rFonts w:eastAsiaTheme="minorHAnsi"/>
          <w:bCs/>
          <w:i/>
          <w:iCs/>
          <w:lang w:eastAsia="en-US"/>
        </w:rPr>
        <w:t>"Biyolojik Açıdan Önemli Alan</w:t>
      </w:r>
      <w:r w:rsidRPr="006F1CFC">
        <w:rPr>
          <w:rFonts w:eastAsiaTheme="minorHAnsi"/>
          <w:lang w:eastAsia="en-US"/>
        </w:rPr>
        <w:t>"</w:t>
      </w:r>
      <w:r w:rsidRPr="006F1CFC">
        <w:rPr>
          <w:rFonts w:eastAsiaTheme="minorHAnsi"/>
          <w:bCs/>
          <w:iCs/>
          <w:lang w:eastAsia="en-US"/>
        </w:rPr>
        <w:t xml:space="preserve"> </w:t>
      </w:r>
      <w:r w:rsidRPr="006F1CFC">
        <w:rPr>
          <w:rFonts w:eastAsiaTheme="minorHAnsi"/>
          <w:lang w:eastAsia="en-US"/>
        </w:rPr>
        <w:t xml:space="preserve">içerisinde kaldığından 9.33 hükmü uyarınca </w:t>
      </w:r>
      <w:r w:rsidRPr="006F1CFC">
        <w:rPr>
          <w:rFonts w:eastAsiaTheme="minorHAnsi"/>
          <w:bCs/>
          <w:lang w:eastAsia="en-US"/>
        </w:rPr>
        <w:t>Ekosistem Değerlendirme Raporunun hazırlanarak başta</w:t>
      </w:r>
      <w:r w:rsidRPr="006F1CFC">
        <w:rPr>
          <w:rFonts w:eastAsiaTheme="minorHAnsi"/>
          <w:bCs/>
          <w:iCs/>
          <w:lang w:eastAsia="en-US"/>
        </w:rPr>
        <w:t xml:space="preserve"> </w:t>
      </w:r>
      <w:r w:rsidRPr="006F1CFC">
        <w:rPr>
          <w:rFonts w:eastAsiaTheme="minorHAnsi"/>
          <w:bCs/>
          <w:lang w:eastAsia="en-US"/>
        </w:rPr>
        <w:t>Tarım ve Orman İl Müdürlüğü ve Tarım ve Orman Bakanlığı(Su Yönetimi Genel Müdürlüğü</w:t>
      </w:r>
      <w:r w:rsidRPr="006F1CFC">
        <w:rPr>
          <w:rFonts w:eastAsiaTheme="minorHAnsi"/>
          <w:lang w:eastAsia="en-US"/>
        </w:rPr>
        <w:t>)</w:t>
      </w:r>
      <w:r w:rsidRPr="006F1CFC">
        <w:rPr>
          <w:rFonts w:eastAsiaTheme="minorHAnsi"/>
          <w:bCs/>
          <w:i/>
          <w:iCs/>
          <w:lang w:eastAsia="en-US"/>
        </w:rPr>
        <w:t xml:space="preserve"> </w:t>
      </w:r>
      <w:r w:rsidRPr="006F1CFC">
        <w:rPr>
          <w:rFonts w:eastAsiaTheme="minorHAnsi"/>
          <w:lang w:eastAsia="en-US"/>
        </w:rPr>
        <w:t xml:space="preserve">olmak üzere ilgili kurum ve kuruluş görüşlerinin alınması, yol bağlantısının sağlanması,1/100.000 ölçekli Antalya-Burdur-Isparta Planlama Bölgesi Çevre Düzeni Planı 9.33 </w:t>
      </w:r>
      <w:proofErr w:type="spellStart"/>
      <w:r w:rsidRPr="006F1CFC">
        <w:rPr>
          <w:rFonts w:eastAsiaTheme="minorHAnsi"/>
          <w:lang w:eastAsia="en-US"/>
        </w:rPr>
        <w:t>nolu</w:t>
      </w:r>
      <w:proofErr w:type="spellEnd"/>
      <w:r w:rsidRPr="006F1CFC">
        <w:rPr>
          <w:rFonts w:eastAsiaTheme="minorHAnsi"/>
          <w:lang w:eastAsia="en-US"/>
        </w:rPr>
        <w:t xml:space="preserve"> plan hükümlerine ve </w:t>
      </w:r>
      <w:proofErr w:type="spellStart"/>
      <w:r w:rsidRPr="006F1CFC">
        <w:rPr>
          <w:rFonts w:eastAsiaTheme="minorHAnsi"/>
          <w:lang w:eastAsia="en-US"/>
        </w:rPr>
        <w:t>ÇDP'nin</w:t>
      </w:r>
      <w:proofErr w:type="spellEnd"/>
      <w:r w:rsidRPr="006F1CFC">
        <w:rPr>
          <w:rFonts w:eastAsiaTheme="minorHAnsi"/>
          <w:lang w:eastAsia="en-US"/>
        </w:rPr>
        <w:t xml:space="preserve"> tüm hüküm ve esaslarına uygulaması, 3194 Sayılı İmar Kanunu ve ilgili mevzuat hükümleri, Mekânsal Planlar Yapım Yönetmeliği ve 2872 Sayılı Çevre Kanunu hükümleri doğrultusunda, çevre düzeni planında değişiklik yapılmaksızın ilgili idaresince iş ve işlemlerin yürütüle bilineceği bilgisi verilmiştir. Ancak anılan </w:t>
      </w:r>
      <w:r w:rsidRPr="006F1CFC">
        <w:rPr>
          <w:rFonts w:eastAsiaTheme="minorHAnsi"/>
          <w:b/>
          <w:bCs/>
          <w:lang w:eastAsia="en-US"/>
        </w:rPr>
        <w:t xml:space="preserve">Ekosistem Değerlendirme Raporuna </w:t>
      </w:r>
      <w:r w:rsidRPr="006F1CFC">
        <w:rPr>
          <w:rFonts w:eastAsiaTheme="minorHAnsi"/>
          <w:bCs/>
          <w:lang w:eastAsia="en-US"/>
        </w:rPr>
        <w:t xml:space="preserve">dosya içerisinde </w:t>
      </w:r>
      <w:r w:rsidRPr="006F1CFC">
        <w:rPr>
          <w:rFonts w:eastAsiaTheme="minorHAnsi"/>
          <w:b/>
          <w:bCs/>
          <w:lang w:eastAsia="en-US"/>
        </w:rPr>
        <w:t>rastlanmamıştır.</w:t>
      </w:r>
    </w:p>
    <w:p w:rsidR="006F1CFC" w:rsidRPr="006F1CFC" w:rsidRDefault="006F1CFC" w:rsidP="006F1CFC">
      <w:pPr>
        <w:numPr>
          <w:ilvl w:val="0"/>
          <w:numId w:val="2"/>
        </w:numPr>
        <w:autoSpaceDE w:val="0"/>
        <w:autoSpaceDN w:val="0"/>
        <w:adjustRightInd w:val="0"/>
        <w:spacing w:line="276" w:lineRule="auto"/>
        <w:contextualSpacing/>
        <w:jc w:val="both"/>
        <w:rPr>
          <w:rFonts w:eastAsiaTheme="minorHAnsi"/>
          <w:lang w:eastAsia="en-US"/>
        </w:rPr>
      </w:pPr>
      <w:r w:rsidRPr="006F1CFC">
        <w:rPr>
          <w:rFonts w:eastAsiaTheme="minorHAnsi"/>
          <w:lang w:eastAsia="en-US"/>
        </w:rPr>
        <w:t>21.11.2022 tarih ve E-</w:t>
      </w:r>
      <w:proofErr w:type="gramStart"/>
      <w:r w:rsidRPr="006F1CFC">
        <w:rPr>
          <w:rFonts w:eastAsiaTheme="minorHAnsi"/>
          <w:lang w:eastAsia="en-US"/>
        </w:rPr>
        <w:t>91248848</w:t>
      </w:r>
      <w:proofErr w:type="gramEnd"/>
      <w:r w:rsidRPr="006F1CFC">
        <w:rPr>
          <w:rFonts w:eastAsiaTheme="minorHAnsi"/>
          <w:lang w:eastAsia="en-US"/>
        </w:rPr>
        <w:t>-622.02[622.02]-2881872 sayılı</w:t>
      </w:r>
      <w:r w:rsidRPr="006F1CFC">
        <w:rPr>
          <w:rFonts w:eastAsia="Calibri"/>
          <w:lang w:eastAsia="en-US"/>
        </w:rPr>
        <w:t xml:space="preserve"> </w:t>
      </w:r>
      <w:r w:rsidRPr="006F1CFC">
        <w:rPr>
          <w:rFonts w:eastAsia="Calibri"/>
          <w:b/>
          <w:lang w:eastAsia="en-US"/>
        </w:rPr>
        <w:t>DSİ 18. Bölge Müdürlüğünün</w:t>
      </w:r>
      <w:r w:rsidRPr="006F1CFC">
        <w:rPr>
          <w:rFonts w:eastAsia="Calibri"/>
          <w:lang w:eastAsia="en-US"/>
        </w:rPr>
        <w:t xml:space="preserve"> kurum görüşünde; alanın DSİ’ce mevcut ya da herhangi bir aşamada ele alınan proje sahasında yer almadığı; </w:t>
      </w:r>
      <w:r w:rsidRPr="006F1CFC">
        <w:rPr>
          <w:rFonts w:eastAsiaTheme="minorHAnsi"/>
          <w:lang w:eastAsia="en-US"/>
        </w:rPr>
        <w:t>belirtilen taşınmazlar üzerinde güneş enerji santrali için 1/5.000 ve 1/1.000 ölçekli imar planı çalışması yapılmasında sakınca bulunmadığı bildirilmiştir.</w:t>
      </w:r>
    </w:p>
    <w:p w:rsidR="006F1CFC" w:rsidRPr="006F1CFC" w:rsidRDefault="006F1CFC" w:rsidP="006F1CFC">
      <w:pPr>
        <w:numPr>
          <w:ilvl w:val="0"/>
          <w:numId w:val="2"/>
        </w:numPr>
        <w:autoSpaceDE w:val="0"/>
        <w:autoSpaceDN w:val="0"/>
        <w:adjustRightInd w:val="0"/>
        <w:spacing w:line="276" w:lineRule="auto"/>
        <w:contextualSpacing/>
        <w:jc w:val="both"/>
        <w:rPr>
          <w:rFonts w:eastAsiaTheme="minorHAnsi"/>
          <w:lang w:eastAsia="en-US"/>
        </w:rPr>
      </w:pPr>
      <w:r w:rsidRPr="006F1CFC">
        <w:rPr>
          <w:rFonts w:eastAsiaTheme="minorHAnsi"/>
          <w:lang w:eastAsia="en-US"/>
        </w:rPr>
        <w:t>17.11.2022 tarih ve E-1149991-</w:t>
      </w:r>
      <w:proofErr w:type="gramStart"/>
      <w:r w:rsidRPr="006F1CFC">
        <w:rPr>
          <w:rFonts w:eastAsiaTheme="minorHAnsi"/>
          <w:lang w:eastAsia="en-US"/>
        </w:rPr>
        <w:t>104.03</w:t>
      </w:r>
      <w:proofErr w:type="gramEnd"/>
      <w:r w:rsidRPr="006F1CFC">
        <w:rPr>
          <w:rFonts w:eastAsiaTheme="minorHAnsi"/>
          <w:lang w:eastAsia="en-US"/>
        </w:rPr>
        <w:t xml:space="preserve">-3025 </w:t>
      </w:r>
      <w:r w:rsidRPr="006F1CFC">
        <w:rPr>
          <w:rFonts w:eastAsia="Calibri"/>
          <w:lang w:eastAsia="en-US"/>
        </w:rPr>
        <w:t xml:space="preserve">sayılı </w:t>
      </w:r>
      <w:r w:rsidRPr="006F1CFC">
        <w:rPr>
          <w:rFonts w:eastAsia="Calibri"/>
          <w:b/>
          <w:lang w:eastAsia="en-US"/>
        </w:rPr>
        <w:t>İl Sağlık Müdürlüğünün</w:t>
      </w:r>
      <w:r w:rsidRPr="006F1CFC">
        <w:rPr>
          <w:rFonts w:eastAsia="Calibri"/>
          <w:lang w:eastAsia="en-US"/>
        </w:rPr>
        <w:t xml:space="preserve"> yazısı ekinde yer alan 15.11.2022 tarihli Sağlık Müdürlüğünün yazısı ekinde yer alan 2 adet raporda;</w:t>
      </w:r>
      <w:r w:rsidRPr="006F1CFC">
        <w:rPr>
          <w:rFonts w:eastAsiaTheme="minorHAnsi"/>
          <w:lang w:eastAsia="en-US"/>
        </w:rPr>
        <w:t xml:space="preserve"> İşletmenin bulunduğu yerin, kaynak, </w:t>
      </w:r>
      <w:proofErr w:type="spellStart"/>
      <w:r w:rsidRPr="006F1CFC">
        <w:rPr>
          <w:rFonts w:eastAsiaTheme="minorHAnsi"/>
          <w:lang w:eastAsia="en-US"/>
        </w:rPr>
        <w:t>kaptaj</w:t>
      </w:r>
      <w:proofErr w:type="spellEnd"/>
      <w:r w:rsidRPr="006F1CFC">
        <w:rPr>
          <w:rFonts w:eastAsiaTheme="minorHAnsi"/>
          <w:lang w:eastAsia="en-US"/>
        </w:rPr>
        <w:t xml:space="preserve">, isale hattı, depo gibi içme ve kullanma suyu yapılarını tehdit etmediği, “İnsani Amaçlı Sular Hakkında Yönetmelik” hükümlerine uygun ve yeterli miktarda sağlanması; evsel nitelikli atık suların kanalizasyona deşarj edilmesi bu mümkün değilse “Lağım Mecrası İnşası Mümkün Olmayan Yerlerde Yapılacak Çukurlara Ait Yönetmelik” hükümlerince inşa edilmiş fosseptik çukurunda depolanması; atıkların işletmenin tabi olacağı ilgili mevzuatlar çerçevesinde bertaraf edilmesi, Kurulacak yapının en başta belirtilen kuruluş amacına uygun olarak kullanılması </w:t>
      </w:r>
      <w:r w:rsidRPr="006F1CFC">
        <w:rPr>
          <w:rFonts w:eastAsia="Calibri"/>
          <w:lang w:eastAsia="en-US"/>
        </w:rPr>
        <w:t xml:space="preserve">şartıyla nazım ve uygulama imar planlarının yapılmasında sakınca görülmediği bildirilmiştir. </w:t>
      </w:r>
    </w:p>
    <w:p w:rsidR="006F1CFC" w:rsidRPr="006F1CFC" w:rsidRDefault="006F1CFC" w:rsidP="006F1CFC">
      <w:pPr>
        <w:numPr>
          <w:ilvl w:val="0"/>
          <w:numId w:val="2"/>
        </w:numPr>
        <w:autoSpaceDE w:val="0"/>
        <w:autoSpaceDN w:val="0"/>
        <w:adjustRightInd w:val="0"/>
        <w:spacing w:line="276" w:lineRule="auto"/>
        <w:contextualSpacing/>
        <w:jc w:val="both"/>
        <w:rPr>
          <w:rFonts w:eastAsiaTheme="minorHAnsi"/>
          <w:lang w:eastAsia="en-US"/>
        </w:rPr>
      </w:pPr>
      <w:r w:rsidRPr="006F1CFC">
        <w:rPr>
          <w:rFonts w:eastAsiaTheme="minorHAnsi"/>
          <w:lang w:eastAsia="en-US"/>
        </w:rPr>
        <w:t>11.11.2022 tarih ve E-992258 sayılı</w:t>
      </w:r>
      <w:r w:rsidRPr="006F1CFC">
        <w:rPr>
          <w:rFonts w:eastAsia="Calibri"/>
          <w:lang w:eastAsia="en-US"/>
        </w:rPr>
        <w:t xml:space="preserve"> </w:t>
      </w:r>
      <w:r w:rsidRPr="006F1CFC">
        <w:rPr>
          <w:rFonts w:eastAsia="Calibri"/>
          <w:b/>
          <w:lang w:eastAsia="en-US"/>
        </w:rPr>
        <w:t>Karayolları 13. Bölge Müdürlüğünün</w:t>
      </w:r>
      <w:r w:rsidRPr="006F1CFC">
        <w:rPr>
          <w:rFonts w:eastAsia="Calibri"/>
          <w:lang w:eastAsia="en-US"/>
        </w:rPr>
        <w:t xml:space="preserve"> kurum görüşünde </w:t>
      </w:r>
      <w:r w:rsidRPr="006F1CFC">
        <w:rPr>
          <w:rFonts w:eastAsiaTheme="minorHAnsi"/>
          <w:lang w:eastAsia="en-US"/>
        </w:rPr>
        <w:t xml:space="preserve">mevcut ve tasarlanan yol güzergâhları dışında kaldığı için </w:t>
      </w:r>
      <w:r w:rsidRPr="006F1CFC">
        <w:rPr>
          <w:rFonts w:eastAsia="Calibri"/>
          <w:lang w:eastAsia="en-US"/>
        </w:rPr>
        <w:t xml:space="preserve">imar planı yapılmasında sakınca olmadığı bildirilmiştir. </w:t>
      </w:r>
    </w:p>
    <w:p w:rsidR="006F1CFC" w:rsidRPr="006F1CFC" w:rsidRDefault="006F1CFC" w:rsidP="006F1CFC">
      <w:pPr>
        <w:numPr>
          <w:ilvl w:val="0"/>
          <w:numId w:val="2"/>
        </w:numPr>
        <w:spacing w:line="276" w:lineRule="auto"/>
        <w:contextualSpacing/>
        <w:jc w:val="both"/>
        <w:rPr>
          <w:rFonts w:eastAsia="Calibri"/>
          <w:lang w:eastAsia="en-US"/>
        </w:rPr>
      </w:pPr>
      <w:r w:rsidRPr="006F1CFC">
        <w:rPr>
          <w:rFonts w:eastAsiaTheme="minorHAnsi"/>
          <w:lang w:eastAsia="en-US"/>
        </w:rPr>
        <w:t>10.02.2023 tarih ve E-</w:t>
      </w:r>
      <w:proofErr w:type="gramStart"/>
      <w:r w:rsidRPr="006F1CFC">
        <w:rPr>
          <w:rFonts w:eastAsiaTheme="minorHAnsi"/>
          <w:lang w:eastAsia="en-US"/>
        </w:rPr>
        <w:t>34703502</w:t>
      </w:r>
      <w:proofErr w:type="gramEnd"/>
      <w:r w:rsidRPr="006F1CFC">
        <w:rPr>
          <w:rFonts w:eastAsiaTheme="minorHAnsi"/>
          <w:lang w:eastAsia="en-US"/>
        </w:rPr>
        <w:t xml:space="preserve">-754[316;302]-2084778 sayılı </w:t>
      </w:r>
      <w:r w:rsidRPr="006F1CFC">
        <w:rPr>
          <w:rFonts w:eastAsiaTheme="minorHAnsi"/>
          <w:b/>
          <w:lang w:eastAsia="en-US"/>
        </w:rPr>
        <w:t>Milli Savunma Bakanlığı Lojistik Genel Müdürlüğü İzmir İnşaat Emlak Müdürlüğü</w:t>
      </w:r>
      <w:r w:rsidRPr="006F1CFC">
        <w:rPr>
          <w:rFonts w:eastAsiaTheme="minorHAnsi"/>
          <w:lang w:eastAsia="en-US"/>
        </w:rPr>
        <w:t xml:space="preserve"> yazısında; Tapu ve Kadastro Genel Müdürlüğü Mekânsal Gayrimenkul Sistemi (MEGSİS) ve Saymanlık kayıtlarında yapılan </w:t>
      </w:r>
      <w:r w:rsidRPr="006F1CFC">
        <w:rPr>
          <w:rFonts w:eastAsiaTheme="minorHAnsi"/>
          <w:lang w:eastAsia="en-US"/>
        </w:rPr>
        <w:lastRenderedPageBreak/>
        <w:t>inceleme sonucu; Milli Savunma Bakanlığı sorumluluğunda Askeri Alan, Askeri Yasak ve Askeri Güvenlik Bölgesi ile NATO Akaryakıt Boru Hattı bulunmadığı bildirilmiştir.</w:t>
      </w:r>
    </w:p>
    <w:p w:rsidR="006F1CFC" w:rsidRPr="006F1CFC" w:rsidRDefault="006F1CFC" w:rsidP="006F1CFC">
      <w:pPr>
        <w:numPr>
          <w:ilvl w:val="0"/>
          <w:numId w:val="2"/>
        </w:numPr>
        <w:spacing w:line="276" w:lineRule="auto"/>
        <w:contextualSpacing/>
        <w:jc w:val="both"/>
        <w:rPr>
          <w:rFonts w:eastAsia="Calibri"/>
          <w:lang w:eastAsia="en-US"/>
        </w:rPr>
      </w:pPr>
      <w:r w:rsidRPr="006F1CFC">
        <w:rPr>
          <w:rFonts w:eastAsiaTheme="minorHAnsi"/>
          <w:lang w:eastAsia="en-US"/>
        </w:rPr>
        <w:t>08.03.2023 tarih ve E-</w:t>
      </w:r>
      <w:proofErr w:type="gramStart"/>
      <w:r w:rsidRPr="006F1CFC">
        <w:rPr>
          <w:rFonts w:eastAsiaTheme="minorHAnsi"/>
          <w:lang w:eastAsia="en-US"/>
        </w:rPr>
        <w:t>45955264</w:t>
      </w:r>
      <w:proofErr w:type="gramEnd"/>
      <w:r w:rsidRPr="006F1CFC">
        <w:rPr>
          <w:rFonts w:eastAsiaTheme="minorHAnsi"/>
          <w:lang w:eastAsia="en-US"/>
        </w:rPr>
        <w:t xml:space="preserve">-255.99-7437004 </w:t>
      </w:r>
      <w:r w:rsidRPr="006F1CFC">
        <w:rPr>
          <w:rFonts w:eastAsia="Calibri"/>
          <w:lang w:eastAsia="en-US"/>
        </w:rPr>
        <w:t xml:space="preserve">sayılı </w:t>
      </w:r>
      <w:r w:rsidRPr="006F1CFC">
        <w:rPr>
          <w:rFonts w:eastAsia="Calibri"/>
          <w:b/>
          <w:lang w:eastAsia="en-US"/>
        </w:rPr>
        <w:t>Isparta Orman Bölge Müdürlüğünün</w:t>
      </w:r>
      <w:r w:rsidRPr="006F1CFC">
        <w:rPr>
          <w:rFonts w:eastAsiaTheme="minorHAnsi"/>
          <w:lang w:eastAsia="en-US"/>
        </w:rPr>
        <w:t xml:space="preserve"> </w:t>
      </w:r>
      <w:r w:rsidRPr="006F1CFC">
        <w:rPr>
          <w:rFonts w:eastAsia="Calibri"/>
          <w:lang w:eastAsia="en-US"/>
        </w:rPr>
        <w:t>kurum görüşünde;</w:t>
      </w:r>
      <w:r w:rsidRPr="006F1CFC">
        <w:rPr>
          <w:rFonts w:eastAsiaTheme="minorHAnsi"/>
          <w:lang w:eastAsia="en-US"/>
        </w:rPr>
        <w:t xml:space="preserve"> Isparta Orman İşletme Müdürlüğünün 01.03.2023 tarih ve 7412332 sayılı yazıları ile 27.02.2023 tarihli inceleme raporlarında, taşınmazların orman kadastro haritasında orman sınırları dışında kaldığı bildirilmiştir. </w:t>
      </w:r>
    </w:p>
    <w:p w:rsidR="006F1CFC" w:rsidRPr="006F1CFC" w:rsidRDefault="006F1CFC" w:rsidP="006F1CFC">
      <w:pPr>
        <w:numPr>
          <w:ilvl w:val="0"/>
          <w:numId w:val="2"/>
        </w:numPr>
        <w:spacing w:line="276" w:lineRule="auto"/>
        <w:contextualSpacing/>
        <w:jc w:val="both"/>
        <w:rPr>
          <w:rFonts w:eastAsia="Calibri"/>
          <w:lang w:eastAsia="en-US"/>
        </w:rPr>
      </w:pPr>
      <w:r w:rsidRPr="006F1CFC">
        <w:rPr>
          <w:rFonts w:eastAsiaTheme="minorHAnsi"/>
          <w:lang w:eastAsia="en-US"/>
        </w:rPr>
        <w:t xml:space="preserve">Bila </w:t>
      </w:r>
      <w:r w:rsidRPr="006F1CFC">
        <w:rPr>
          <w:rFonts w:eastAsiaTheme="minorHAnsi"/>
          <w:lang w:eastAsia="x-none"/>
        </w:rPr>
        <w:t xml:space="preserve">tarih </w:t>
      </w:r>
      <w:r w:rsidRPr="006F1CFC">
        <w:rPr>
          <w:rFonts w:eastAsiaTheme="minorHAnsi"/>
          <w:lang w:eastAsia="en-US"/>
        </w:rPr>
        <w:t>E-</w:t>
      </w:r>
      <w:proofErr w:type="gramStart"/>
      <w:r w:rsidRPr="006F1CFC">
        <w:rPr>
          <w:rFonts w:eastAsiaTheme="minorHAnsi"/>
          <w:lang w:eastAsia="en-US"/>
        </w:rPr>
        <w:t>96301635</w:t>
      </w:r>
      <w:proofErr w:type="gramEnd"/>
      <w:r w:rsidRPr="006F1CFC">
        <w:rPr>
          <w:rFonts w:eastAsiaTheme="minorHAnsi"/>
          <w:lang w:eastAsia="en-US"/>
        </w:rPr>
        <w:t xml:space="preserve">-251.03.01-7776527 sayılı </w:t>
      </w:r>
      <w:r w:rsidRPr="006F1CFC">
        <w:rPr>
          <w:rFonts w:eastAsiaTheme="minorHAnsi"/>
          <w:b/>
          <w:lang w:eastAsia="x-none"/>
        </w:rPr>
        <w:t>Tarım Ve Orman Bakanlığı Su Yönetimi Genel Müdürlüğü’nün</w:t>
      </w:r>
      <w:r w:rsidRPr="006F1CFC">
        <w:rPr>
          <w:rFonts w:eastAsiaTheme="minorHAnsi"/>
          <w:lang w:eastAsia="x-none"/>
        </w:rPr>
        <w:t xml:space="preserve"> görüşü ekinde; </w:t>
      </w:r>
      <w:r>
        <w:rPr>
          <w:rFonts w:eastAsiaTheme="minorHAnsi"/>
          <w:lang w:eastAsia="en-US"/>
        </w:rPr>
        <w:t>s</w:t>
      </w:r>
      <w:r w:rsidRPr="006F1CFC">
        <w:rPr>
          <w:rFonts w:eastAsiaTheme="minorHAnsi"/>
          <w:lang w:eastAsia="en-US"/>
        </w:rPr>
        <w:t>öz konusu alanının herhangi bir içme-kullanma suyu havzasında kalmadığı, Bu kapsamda, su kalitesi ve miktarının olumsuz etkilenmesini önleyecek gerekli çevresel altyapı ve kirlenme önleme tedbirlerinin yerine getirilmesi koşuluyla söz konusu faaliyetin gerçekleştirilmesinde Bakanlığımız Su Yönetimi Genel Müdürlüğü'nün görev, yetki ve sorumlulukları çerçevesinde herhangi bir sakınca bulunmadığı bildirilmiştir.</w:t>
      </w:r>
    </w:p>
    <w:p w:rsidR="006F1CFC" w:rsidRPr="006F1CFC" w:rsidRDefault="006F1CFC" w:rsidP="006F1CFC">
      <w:pPr>
        <w:numPr>
          <w:ilvl w:val="0"/>
          <w:numId w:val="2"/>
        </w:numPr>
        <w:spacing w:line="276" w:lineRule="auto"/>
        <w:contextualSpacing/>
        <w:jc w:val="both"/>
        <w:rPr>
          <w:rFonts w:eastAsiaTheme="minorHAnsi"/>
          <w:lang w:eastAsia="en-US"/>
        </w:rPr>
      </w:pPr>
      <w:r w:rsidRPr="006F1CFC">
        <w:rPr>
          <w:rFonts w:eastAsiaTheme="minorHAnsi"/>
          <w:lang w:eastAsia="en-US"/>
        </w:rPr>
        <w:t xml:space="preserve">Bila </w:t>
      </w:r>
      <w:r w:rsidRPr="006F1CFC">
        <w:rPr>
          <w:rFonts w:eastAsia="Calibri"/>
          <w:lang w:eastAsia="en-US"/>
        </w:rPr>
        <w:t>tarih ve</w:t>
      </w:r>
      <w:r w:rsidRPr="006F1CFC">
        <w:rPr>
          <w:rFonts w:eastAsiaTheme="minorHAnsi"/>
          <w:lang w:eastAsia="en-US"/>
        </w:rPr>
        <w:t xml:space="preserve"> E-</w:t>
      </w:r>
      <w:proofErr w:type="gramStart"/>
      <w:r w:rsidRPr="006F1CFC">
        <w:rPr>
          <w:rFonts w:eastAsiaTheme="minorHAnsi"/>
          <w:lang w:eastAsia="en-US"/>
        </w:rPr>
        <w:t>92480302</w:t>
      </w:r>
      <w:proofErr w:type="gramEnd"/>
      <w:r w:rsidRPr="006F1CFC">
        <w:rPr>
          <w:rFonts w:eastAsiaTheme="minorHAnsi"/>
          <w:lang w:eastAsia="en-US"/>
        </w:rPr>
        <w:t xml:space="preserve">-278.01[278.01]-9350418 </w:t>
      </w:r>
      <w:r w:rsidRPr="006F1CFC">
        <w:rPr>
          <w:rFonts w:eastAsia="Calibri"/>
          <w:lang w:eastAsia="en-US"/>
        </w:rPr>
        <w:t xml:space="preserve">sayılı </w:t>
      </w:r>
      <w:r w:rsidRPr="006F1CFC">
        <w:rPr>
          <w:rFonts w:eastAsia="Calibri"/>
          <w:b/>
          <w:lang w:eastAsia="en-US"/>
        </w:rPr>
        <w:t>Tarım ve Orman Bakanlığı 6. Bölge Müdürlüğü Isparta Şube Müdürlüğünün</w:t>
      </w:r>
      <w:r w:rsidRPr="006F1CFC">
        <w:rPr>
          <w:rFonts w:eastAsia="Calibri"/>
          <w:lang w:eastAsia="en-US"/>
        </w:rPr>
        <w:t xml:space="preserve"> görüşünde </w:t>
      </w:r>
      <w:r w:rsidRPr="006F1CFC">
        <w:rPr>
          <w:rFonts w:eastAsiaTheme="minorHAnsi"/>
          <w:lang w:eastAsia="en-US"/>
        </w:rPr>
        <w:t>2873 sayılı Milli Parklar Kanunu (milli park, tabiat parkı, tabiat koruma alanı vs.) 4915 sayılı Kara Avcılığı Kanunu uyarınca (yaban hayatı koruma sahası, yaban hayatı geliştirme sahası vs.) ve Sulak Alanların Korunması Yönetmeliği ile 2014/1 Sayılı Genelge kapsamında özellikli yerlerden olmadığından</w:t>
      </w:r>
      <w:r w:rsidRPr="006F1CFC">
        <w:rPr>
          <w:rFonts w:eastAsia="Calibri"/>
          <w:lang w:eastAsia="en-US"/>
        </w:rPr>
        <w:t xml:space="preserve"> GES imar planı hazırlanmasında sakınca olmadığı bildirilmiştir.</w:t>
      </w:r>
    </w:p>
    <w:p w:rsidR="006F1CFC" w:rsidRPr="006F1CFC" w:rsidRDefault="006F1CFC" w:rsidP="006F1CFC">
      <w:pPr>
        <w:numPr>
          <w:ilvl w:val="0"/>
          <w:numId w:val="2"/>
        </w:numPr>
        <w:spacing w:line="276" w:lineRule="auto"/>
        <w:contextualSpacing/>
        <w:jc w:val="both"/>
        <w:rPr>
          <w:rFonts w:eastAsia="Calibri"/>
          <w:lang w:eastAsia="en-US"/>
        </w:rPr>
      </w:pPr>
      <w:r w:rsidRPr="006F1CFC">
        <w:rPr>
          <w:rFonts w:eastAsia="Calibri"/>
          <w:lang w:eastAsia="en-US"/>
        </w:rPr>
        <w:t xml:space="preserve">Bila tarih ve </w:t>
      </w:r>
      <w:r w:rsidRPr="006F1CFC">
        <w:rPr>
          <w:rFonts w:eastAsiaTheme="minorHAnsi"/>
          <w:lang w:eastAsia="en-US"/>
        </w:rPr>
        <w:t>E-</w:t>
      </w:r>
      <w:proofErr w:type="gramStart"/>
      <w:r w:rsidRPr="006F1CFC">
        <w:rPr>
          <w:rFonts w:eastAsiaTheme="minorHAnsi"/>
          <w:lang w:eastAsia="en-US"/>
        </w:rPr>
        <w:t>73363623</w:t>
      </w:r>
      <w:proofErr w:type="gramEnd"/>
      <w:r w:rsidRPr="006F1CFC">
        <w:rPr>
          <w:rFonts w:eastAsiaTheme="minorHAnsi"/>
          <w:lang w:eastAsia="en-US"/>
        </w:rPr>
        <w:t xml:space="preserve">-752.99-1522660 </w:t>
      </w:r>
      <w:r w:rsidRPr="006F1CFC">
        <w:rPr>
          <w:rFonts w:eastAsia="Calibri"/>
          <w:lang w:eastAsia="en-US"/>
        </w:rPr>
        <w:t xml:space="preserve">sayılı </w:t>
      </w:r>
      <w:r w:rsidRPr="006F1CFC">
        <w:rPr>
          <w:rFonts w:eastAsiaTheme="minorHAnsi"/>
          <w:b/>
          <w:bCs/>
          <w:lang w:eastAsia="en-US"/>
        </w:rPr>
        <w:t xml:space="preserve">Türkiye Elektrik İletim Anonim Şirketi Genel Müdürlüğü 7. Bölge Müdürlüğü </w:t>
      </w:r>
      <w:r w:rsidRPr="006F1CFC">
        <w:rPr>
          <w:rFonts w:eastAsia="Calibri"/>
          <w:lang w:eastAsia="en-US"/>
        </w:rPr>
        <w:t>kurum görüşünde;</w:t>
      </w:r>
      <w:r w:rsidRPr="006F1CFC">
        <w:rPr>
          <w:rFonts w:eastAsiaTheme="minorHAnsi"/>
          <w:lang w:eastAsia="x-none"/>
        </w:rPr>
        <w:t xml:space="preserve"> </w:t>
      </w:r>
      <w:r w:rsidRPr="006F1CFC">
        <w:rPr>
          <w:rFonts w:eastAsiaTheme="minorHAnsi"/>
          <w:lang w:eastAsia="en-US"/>
        </w:rPr>
        <w:t>İmar Planı Çalışması yapılmasında Teşekküllerince sakınca bulunmadığı bildirilmiştir.</w:t>
      </w:r>
    </w:p>
    <w:p w:rsidR="006F1CFC" w:rsidRPr="006F1CFC" w:rsidRDefault="006F1CFC" w:rsidP="006F1CFC">
      <w:pPr>
        <w:numPr>
          <w:ilvl w:val="0"/>
          <w:numId w:val="2"/>
        </w:numPr>
        <w:spacing w:line="276" w:lineRule="auto"/>
        <w:contextualSpacing/>
        <w:jc w:val="both"/>
        <w:rPr>
          <w:rFonts w:eastAsia="Calibri"/>
          <w:lang w:eastAsia="en-US"/>
        </w:rPr>
      </w:pPr>
      <w:r w:rsidRPr="006F1CFC">
        <w:rPr>
          <w:rFonts w:eastAsiaTheme="minorHAnsi"/>
          <w:lang w:eastAsia="en-US"/>
        </w:rPr>
        <w:t>28.11.2022 tarih ve TT.</w:t>
      </w:r>
      <w:proofErr w:type="gramStart"/>
      <w:r w:rsidRPr="006F1CFC">
        <w:rPr>
          <w:rFonts w:eastAsiaTheme="minorHAnsi"/>
          <w:lang w:eastAsia="en-US"/>
        </w:rPr>
        <w:t>50171413</w:t>
      </w:r>
      <w:proofErr w:type="gramEnd"/>
      <w:r w:rsidRPr="006F1CFC">
        <w:rPr>
          <w:rFonts w:eastAsiaTheme="minorHAnsi"/>
          <w:lang w:eastAsia="en-US"/>
        </w:rPr>
        <w:t xml:space="preserve">-635.02.01.03-248892 </w:t>
      </w:r>
      <w:r w:rsidRPr="006F1CFC">
        <w:rPr>
          <w:rFonts w:eastAsia="Calibri"/>
          <w:lang w:eastAsia="en-US"/>
        </w:rPr>
        <w:t xml:space="preserve">sayılı </w:t>
      </w:r>
      <w:r w:rsidRPr="006F1CFC">
        <w:rPr>
          <w:rFonts w:eastAsiaTheme="minorHAnsi"/>
          <w:b/>
          <w:lang w:eastAsia="en-US"/>
        </w:rPr>
        <w:t xml:space="preserve">Türk Telekomünikasyon Anonim Şirketi </w:t>
      </w:r>
      <w:r w:rsidRPr="006F1CFC">
        <w:rPr>
          <w:rFonts w:eastAsia="Calibri"/>
          <w:b/>
          <w:lang w:eastAsia="en-US"/>
        </w:rPr>
        <w:t>Isparta Telekom Müdürlüğü’nün</w:t>
      </w:r>
      <w:r w:rsidRPr="006F1CFC">
        <w:rPr>
          <w:rFonts w:eastAsia="Calibri"/>
          <w:lang w:eastAsia="en-US"/>
        </w:rPr>
        <w:t xml:space="preserve"> yazısında mevcut Türk Telekom altyapısının korunması ve deplase işlemlerin mülk sahiplerince yapılması kaydıyla sakınca olmadığı bildirilmiştir.</w:t>
      </w:r>
    </w:p>
    <w:p w:rsidR="006F1CFC" w:rsidRPr="006F1CFC" w:rsidRDefault="006F1CFC" w:rsidP="006F1CFC">
      <w:pPr>
        <w:numPr>
          <w:ilvl w:val="0"/>
          <w:numId w:val="2"/>
        </w:numPr>
        <w:spacing w:line="276" w:lineRule="auto"/>
        <w:contextualSpacing/>
        <w:jc w:val="both"/>
        <w:rPr>
          <w:rFonts w:eastAsia="Calibri"/>
          <w:lang w:eastAsia="en-US"/>
        </w:rPr>
      </w:pPr>
      <w:r w:rsidRPr="006F1CFC">
        <w:rPr>
          <w:rFonts w:eastAsia="Calibri"/>
          <w:lang w:eastAsia="en-US"/>
        </w:rPr>
        <w:t xml:space="preserve">Bila tarih ve </w:t>
      </w:r>
      <w:r w:rsidRPr="006F1CFC">
        <w:rPr>
          <w:rFonts w:eastAsiaTheme="minorHAnsi"/>
          <w:lang w:eastAsia="en-US"/>
        </w:rPr>
        <w:t>E-</w:t>
      </w:r>
      <w:proofErr w:type="gramStart"/>
      <w:r w:rsidRPr="006F1CFC">
        <w:rPr>
          <w:rFonts w:eastAsiaTheme="minorHAnsi"/>
          <w:lang w:eastAsia="en-US"/>
        </w:rPr>
        <w:t>14102603</w:t>
      </w:r>
      <w:proofErr w:type="gramEnd"/>
      <w:r w:rsidRPr="006F1CFC">
        <w:rPr>
          <w:rFonts w:eastAsiaTheme="minorHAnsi"/>
          <w:lang w:eastAsia="en-US"/>
        </w:rPr>
        <w:t xml:space="preserve">-230.04.02-9416266 </w:t>
      </w:r>
      <w:r w:rsidRPr="006F1CFC">
        <w:rPr>
          <w:rFonts w:eastAsia="Calibri"/>
          <w:lang w:eastAsia="en-US"/>
        </w:rPr>
        <w:t xml:space="preserve">sayılı </w:t>
      </w:r>
      <w:r w:rsidRPr="006F1CFC">
        <w:rPr>
          <w:rFonts w:eastAsia="Calibri"/>
          <w:b/>
          <w:lang w:eastAsia="en-US"/>
        </w:rPr>
        <w:t>İl Tarım ve Orman Müdürlüğünün</w:t>
      </w:r>
      <w:r w:rsidRPr="006F1CFC">
        <w:rPr>
          <w:rFonts w:eastAsia="Calibri"/>
          <w:lang w:eastAsia="en-US"/>
        </w:rPr>
        <w:t xml:space="preserve"> kurum görüşünde;</w:t>
      </w:r>
      <w:r w:rsidRPr="006F1CFC">
        <w:rPr>
          <w:rFonts w:eastAsiaTheme="minorHAnsi"/>
          <w:lang w:eastAsia="en-US"/>
        </w:rPr>
        <w:t xml:space="preserve">  Valilik Makamından alınan 30.03.2023 tarih ve E.14102603-230.04.02-9402534 sayılı Makam Olur'u ile 106 ada 37-40 parsel numaralı taşınmazların ‘'lisanssız güneş enerjisi santrali'' amaçlı tarım dışı kullanımına izin verildiği Taşınmazların </w:t>
      </w:r>
      <w:proofErr w:type="spellStart"/>
      <w:r w:rsidRPr="006F1CFC">
        <w:rPr>
          <w:rFonts w:eastAsiaTheme="minorHAnsi"/>
          <w:lang w:eastAsia="en-US"/>
        </w:rPr>
        <w:t>izinlendirilen</w:t>
      </w:r>
      <w:proofErr w:type="spellEnd"/>
      <w:r w:rsidRPr="006F1CFC">
        <w:rPr>
          <w:rFonts w:eastAsiaTheme="minorHAnsi"/>
          <w:lang w:eastAsia="en-US"/>
        </w:rPr>
        <w:t xml:space="preserve"> amaç doğrultusunda kullanılması, farklı bir amaçla kullanılmak istenmesi durumunda 5403 sayılı Kanun kapsamında yeniden Kurum görüşümüzün istenilmesi gerektiği, iznin verildiği tarihten itibaren </w:t>
      </w:r>
      <w:r w:rsidRPr="006F1CFC">
        <w:rPr>
          <w:rFonts w:eastAsiaTheme="minorHAnsi"/>
          <w:b/>
          <w:bCs/>
          <w:lang w:eastAsia="en-US"/>
        </w:rPr>
        <w:t xml:space="preserve">iki yıl </w:t>
      </w:r>
      <w:r w:rsidRPr="006F1CFC">
        <w:rPr>
          <w:rFonts w:eastAsiaTheme="minorHAnsi"/>
          <w:lang w:eastAsia="en-US"/>
        </w:rPr>
        <w:t>süre ile geçerli olup, planların onaylanmaması durumunda geçersiz kabul edileceği bildirilmiştir.</w:t>
      </w:r>
    </w:p>
    <w:p w:rsidR="006F1CFC" w:rsidRPr="006F1CFC" w:rsidRDefault="006F1CFC" w:rsidP="006F1CFC">
      <w:pPr>
        <w:spacing w:line="276" w:lineRule="auto"/>
        <w:ind w:firstLine="708"/>
        <w:jc w:val="both"/>
        <w:rPr>
          <w:rFonts w:eastAsia="Calibri"/>
          <w:lang w:eastAsia="en-US"/>
        </w:rPr>
      </w:pPr>
      <w:r w:rsidRPr="006F1CFC">
        <w:rPr>
          <w:rFonts w:eastAsiaTheme="minorHAnsi"/>
          <w:lang w:eastAsia="x-none"/>
        </w:rPr>
        <w:t>Mekânsal Planla</w:t>
      </w:r>
      <w:r>
        <w:rPr>
          <w:rFonts w:eastAsiaTheme="minorHAnsi"/>
          <w:lang w:eastAsia="x-none"/>
        </w:rPr>
        <w:t>r Yapım Yönetmeliği 21. Maddesi</w:t>
      </w:r>
      <w:r w:rsidRPr="006F1CFC">
        <w:rPr>
          <w:rFonts w:eastAsiaTheme="minorHAnsi"/>
          <w:lang w:eastAsia="x-none"/>
        </w:rPr>
        <w:t xml:space="preserve">nde </w:t>
      </w:r>
      <w:r w:rsidRPr="006F1CFC">
        <w:rPr>
          <w:rFonts w:eastAsiaTheme="minorHAnsi"/>
          <w:i/>
          <w:lang w:eastAsia="x-none"/>
        </w:rPr>
        <w:t>“</w:t>
      </w:r>
      <w:r w:rsidRPr="006F1CFC">
        <w:rPr>
          <w:rFonts w:eastAsiaTheme="minorHAnsi"/>
          <w:i/>
          <w:lang w:eastAsia="en-US"/>
        </w:rPr>
        <w:t xml:space="preserve">İmar planları, varsa </w:t>
      </w:r>
      <w:proofErr w:type="spellStart"/>
      <w:r w:rsidRPr="006F1CFC">
        <w:rPr>
          <w:rFonts w:eastAsiaTheme="minorHAnsi"/>
          <w:i/>
          <w:lang w:eastAsia="en-US"/>
        </w:rPr>
        <w:t>kadastral</w:t>
      </w:r>
      <w:proofErr w:type="spellEnd"/>
      <w:r w:rsidRPr="006F1CFC">
        <w:rPr>
          <w:rFonts w:eastAsiaTheme="minorHAnsi"/>
          <w:i/>
          <w:lang w:eastAsia="en-US"/>
        </w:rPr>
        <w:t xml:space="preserve"> durum işlenmiş, en son onaylı </w:t>
      </w:r>
      <w:proofErr w:type="gramStart"/>
      <w:r w:rsidRPr="006F1CFC">
        <w:rPr>
          <w:rFonts w:eastAsiaTheme="minorHAnsi"/>
          <w:i/>
          <w:lang w:eastAsia="en-US"/>
        </w:rPr>
        <w:t>halihazır</w:t>
      </w:r>
      <w:proofErr w:type="gramEnd"/>
      <w:r w:rsidRPr="006F1CFC">
        <w:rPr>
          <w:rFonts w:eastAsiaTheme="minorHAnsi"/>
          <w:i/>
          <w:lang w:eastAsia="en-US"/>
        </w:rPr>
        <w:t xml:space="preserve"> haritalar üzerine çizilir.”</w:t>
      </w:r>
      <w:r w:rsidRPr="006F1CFC">
        <w:rPr>
          <w:rFonts w:eastAsiaTheme="minorHAnsi"/>
          <w:lang w:eastAsia="en-US"/>
        </w:rPr>
        <w:t xml:space="preserve"> Denilmektedir.</w:t>
      </w:r>
      <w:r w:rsidRPr="006F1CFC">
        <w:rPr>
          <w:rFonts w:eastAsiaTheme="minorHAnsi"/>
          <w:lang w:eastAsia="x-none"/>
        </w:rPr>
        <w:t xml:space="preserve"> Bu bağlamada </w:t>
      </w:r>
      <w:r w:rsidRPr="006F1CFC">
        <w:rPr>
          <w:rFonts w:eastAsiaTheme="minorHAnsi"/>
          <w:lang w:eastAsia="en-US"/>
        </w:rPr>
        <w:t xml:space="preserve">Atabey İlçesi Pembeli Köyü 106 ada 37 ve 40 </w:t>
      </w:r>
      <w:r w:rsidRPr="006F1CFC">
        <w:rPr>
          <w:rFonts w:eastAsiaTheme="minorHAnsi"/>
          <w:lang w:eastAsia="x-none"/>
        </w:rPr>
        <w:t xml:space="preserve">parsel </w:t>
      </w:r>
      <w:proofErr w:type="spellStart"/>
      <w:r w:rsidRPr="006F1CFC">
        <w:rPr>
          <w:rFonts w:eastAsia="Calibri"/>
          <w:lang w:eastAsia="en-US"/>
        </w:rPr>
        <w:t>nolu</w:t>
      </w:r>
      <w:proofErr w:type="spellEnd"/>
      <w:r w:rsidRPr="006F1CFC">
        <w:rPr>
          <w:rFonts w:eastAsia="Calibri"/>
          <w:lang w:eastAsia="en-US"/>
        </w:rPr>
        <w:t xml:space="preserve"> taşınmazlara yönelik </w:t>
      </w:r>
      <w:r w:rsidRPr="006F1CFC">
        <w:rPr>
          <w:rFonts w:eastAsiaTheme="minorHAnsi"/>
          <w:lang w:eastAsia="x-none"/>
        </w:rPr>
        <w:t xml:space="preserve">Rota Harita Mühendislik tarafından </w:t>
      </w:r>
      <w:r w:rsidRPr="006F1CFC">
        <w:rPr>
          <w:rFonts w:eastAsia="Calibri"/>
          <w:lang w:eastAsia="en-US"/>
        </w:rPr>
        <w:t xml:space="preserve">1/5.000 ölçekli </w:t>
      </w:r>
      <w:r w:rsidRPr="006F1CFC">
        <w:rPr>
          <w:rFonts w:eastAsiaTheme="minorHAnsi"/>
          <w:bCs/>
          <w:lang w:eastAsia="en-US"/>
        </w:rPr>
        <w:t xml:space="preserve">M25-A-09-B </w:t>
      </w:r>
      <w:proofErr w:type="spellStart"/>
      <w:r w:rsidRPr="006F1CFC">
        <w:rPr>
          <w:rFonts w:eastAsiaTheme="minorHAnsi"/>
          <w:bCs/>
          <w:lang w:eastAsia="en-US"/>
        </w:rPr>
        <w:t>nolu</w:t>
      </w:r>
      <w:proofErr w:type="spellEnd"/>
      <w:r w:rsidRPr="006F1CFC">
        <w:rPr>
          <w:rFonts w:eastAsiaTheme="minorHAnsi"/>
          <w:bCs/>
          <w:lang w:eastAsia="en-US"/>
        </w:rPr>
        <w:t xml:space="preserve"> paftada </w:t>
      </w:r>
      <w:r w:rsidRPr="006F1CFC">
        <w:rPr>
          <w:rFonts w:eastAsia="Calibri"/>
          <w:lang w:eastAsia="en-US"/>
        </w:rPr>
        <w:t xml:space="preserve">ve 1/1.000 ölçekli </w:t>
      </w:r>
      <w:r w:rsidRPr="006F1CFC">
        <w:rPr>
          <w:rFonts w:eastAsiaTheme="minorHAnsi"/>
          <w:bCs/>
          <w:lang w:eastAsia="en-US"/>
        </w:rPr>
        <w:t>M25-A-09-B-2-</w:t>
      </w:r>
      <w:proofErr w:type="gramStart"/>
      <w:r w:rsidRPr="006F1CFC">
        <w:rPr>
          <w:rFonts w:eastAsiaTheme="minorHAnsi"/>
          <w:bCs/>
          <w:lang w:eastAsia="en-US"/>
        </w:rPr>
        <w:t>D</w:t>
      </w:r>
      <w:r w:rsidRPr="006F1CFC">
        <w:rPr>
          <w:rFonts w:eastAsiaTheme="minorHAnsi"/>
          <w:b/>
          <w:bCs/>
          <w:u w:val="single"/>
          <w:lang w:eastAsia="en-US"/>
        </w:rPr>
        <w:t xml:space="preserve"> </w:t>
      </w:r>
      <w:r w:rsidRPr="006F1CFC">
        <w:rPr>
          <w:rFonts w:eastAsiaTheme="minorHAnsi"/>
          <w:bCs/>
          <w:lang w:eastAsia="en-US"/>
        </w:rPr>
        <w:t xml:space="preserve"> </w:t>
      </w:r>
      <w:proofErr w:type="spellStart"/>
      <w:r w:rsidRPr="006F1CFC">
        <w:rPr>
          <w:rFonts w:eastAsia="Calibri"/>
          <w:lang w:eastAsia="en-US"/>
        </w:rPr>
        <w:t>nolu</w:t>
      </w:r>
      <w:proofErr w:type="spellEnd"/>
      <w:proofErr w:type="gramEnd"/>
      <w:r w:rsidRPr="006F1CFC">
        <w:rPr>
          <w:rFonts w:eastAsia="Calibri"/>
          <w:lang w:eastAsia="en-US"/>
        </w:rPr>
        <w:t xml:space="preserve"> paftalarda </w:t>
      </w:r>
      <w:r w:rsidRPr="006F1CFC">
        <w:rPr>
          <w:rFonts w:eastAsiaTheme="minorHAnsi"/>
          <w:lang w:eastAsia="x-none"/>
        </w:rPr>
        <w:t xml:space="preserve">hazırlanan </w:t>
      </w:r>
      <w:r w:rsidRPr="006F1CFC">
        <w:rPr>
          <w:rFonts w:eastAsia="Calibri"/>
          <w:lang w:eastAsia="en-US"/>
        </w:rPr>
        <w:t>imar planına esas hâlihazır haritaları İ</w:t>
      </w:r>
      <w:r>
        <w:rPr>
          <w:rFonts w:eastAsia="Calibri"/>
          <w:lang w:eastAsia="en-US"/>
        </w:rPr>
        <w:t>l Özel İdaresi tarafından</w:t>
      </w:r>
      <w:r w:rsidRPr="006F1CFC">
        <w:rPr>
          <w:rFonts w:eastAsia="Calibri"/>
          <w:lang w:eastAsia="en-US"/>
        </w:rPr>
        <w:t xml:space="preserve"> </w:t>
      </w:r>
      <w:r w:rsidRPr="006F1CFC">
        <w:rPr>
          <w:rFonts w:eastAsiaTheme="minorHAnsi"/>
          <w:lang w:eastAsia="en-US"/>
        </w:rPr>
        <w:t xml:space="preserve">24.02.2023 </w:t>
      </w:r>
      <w:r w:rsidRPr="006F1CFC">
        <w:rPr>
          <w:rFonts w:eastAsia="Calibri"/>
          <w:lang w:eastAsia="en-US"/>
        </w:rPr>
        <w:t>tarihinde onaylanmıştır.</w:t>
      </w:r>
    </w:p>
    <w:p w:rsidR="006F1CFC" w:rsidRPr="006F1CFC" w:rsidRDefault="006F1CFC" w:rsidP="006F1CFC">
      <w:pPr>
        <w:spacing w:line="276" w:lineRule="auto"/>
        <w:ind w:firstLine="708"/>
        <w:jc w:val="both"/>
        <w:rPr>
          <w:rFonts w:eastAsiaTheme="minorHAnsi"/>
          <w:lang w:eastAsia="en-US"/>
        </w:rPr>
      </w:pPr>
      <w:r w:rsidRPr="006F1CFC">
        <w:rPr>
          <w:rFonts w:eastAsia="Calibri"/>
          <w:lang w:eastAsia="en-US"/>
        </w:rPr>
        <w:t xml:space="preserve">Ayrıca yine aynı Kanun maddesinde </w:t>
      </w:r>
      <w:r w:rsidRPr="006F1CFC">
        <w:rPr>
          <w:rFonts w:eastAsia="Calibri"/>
          <w:i/>
          <w:lang w:eastAsia="en-US"/>
        </w:rPr>
        <w:t>“</w:t>
      </w:r>
      <w:r w:rsidRPr="006F1CFC">
        <w:rPr>
          <w:rFonts w:eastAsiaTheme="minorHAnsi"/>
          <w:i/>
          <w:lang w:eastAsia="en-US"/>
        </w:rPr>
        <w:t>Onaylı jeolojik-</w:t>
      </w:r>
      <w:proofErr w:type="spellStart"/>
      <w:r w:rsidRPr="006F1CFC">
        <w:rPr>
          <w:rFonts w:eastAsiaTheme="minorHAnsi"/>
          <w:i/>
          <w:lang w:eastAsia="en-US"/>
        </w:rPr>
        <w:t>jeoteknik</w:t>
      </w:r>
      <w:proofErr w:type="spellEnd"/>
      <w:r w:rsidRPr="006F1CFC">
        <w:rPr>
          <w:rFonts w:eastAsiaTheme="minorHAnsi"/>
          <w:i/>
          <w:lang w:eastAsia="en-US"/>
        </w:rPr>
        <w:t xml:space="preserve"> veya mikro bölgeleme etüt raporu bulunmayan alanlarda imar planları hazırlanamaz.”</w:t>
      </w:r>
      <w:r w:rsidRPr="006F1CFC">
        <w:rPr>
          <w:rFonts w:eastAsiaTheme="minorHAnsi"/>
          <w:lang w:eastAsia="en-US"/>
        </w:rPr>
        <w:t xml:space="preserve"> denilmiştir. Bu sebeple </w:t>
      </w:r>
      <w:r w:rsidRPr="006F1CFC">
        <w:rPr>
          <w:rFonts w:eastAsia="Calibri"/>
          <w:lang w:eastAsia="en-US"/>
        </w:rPr>
        <w:t xml:space="preserve">imar planına esas </w:t>
      </w:r>
      <w:r w:rsidRPr="006F1CFC">
        <w:rPr>
          <w:rFonts w:eastAsiaTheme="minorHAnsi"/>
          <w:lang w:eastAsia="x-none"/>
        </w:rPr>
        <w:t xml:space="preserve">Isparta İli Gelendost İlçesi </w:t>
      </w:r>
      <w:r w:rsidRPr="006F1CFC">
        <w:rPr>
          <w:rFonts w:eastAsiaTheme="minorHAnsi"/>
          <w:lang w:eastAsia="en-US"/>
        </w:rPr>
        <w:t xml:space="preserve">Atabey İlçesi Pembeli Köyü 106 ada 37 ve 40 parsellerinde </w:t>
      </w:r>
      <w:r w:rsidRPr="006F1CFC">
        <w:rPr>
          <w:rFonts w:eastAsiaTheme="minorHAnsi"/>
          <w:lang w:eastAsia="x-none"/>
        </w:rPr>
        <w:t>YERBİS Barkod Numarası:</w:t>
      </w:r>
      <w:r w:rsidRPr="006F1CFC">
        <w:rPr>
          <w:rFonts w:eastAsiaTheme="minorHAnsi"/>
          <w:lang w:eastAsia="en-US"/>
        </w:rPr>
        <w:t xml:space="preserve"> </w:t>
      </w:r>
      <w:proofErr w:type="gramStart"/>
      <w:r w:rsidRPr="006F1CFC">
        <w:rPr>
          <w:rFonts w:eastAsiaTheme="minorHAnsi"/>
          <w:lang w:eastAsia="x-none"/>
        </w:rPr>
        <w:t>23001232094817</w:t>
      </w:r>
      <w:proofErr w:type="gramEnd"/>
      <w:r w:rsidRPr="006F1CFC">
        <w:rPr>
          <w:rFonts w:eastAsiaTheme="minorHAnsi"/>
          <w:lang w:eastAsia="x-none"/>
        </w:rPr>
        <w:t xml:space="preserve"> olan İmar Planına Esas Jeolojik-</w:t>
      </w:r>
      <w:proofErr w:type="spellStart"/>
      <w:r w:rsidRPr="006F1CFC">
        <w:rPr>
          <w:rFonts w:eastAsiaTheme="minorHAnsi"/>
          <w:lang w:eastAsia="x-none"/>
        </w:rPr>
        <w:t>Jeoteknik</w:t>
      </w:r>
      <w:proofErr w:type="spellEnd"/>
      <w:r w:rsidRPr="006F1CFC">
        <w:rPr>
          <w:rFonts w:eastAsiaTheme="minorHAnsi"/>
          <w:lang w:eastAsia="x-none"/>
        </w:rPr>
        <w:t xml:space="preserve"> Etüt Raporu Isparta Valiliği Çevre ve </w:t>
      </w:r>
      <w:r w:rsidRPr="006F1CFC">
        <w:rPr>
          <w:rFonts w:eastAsiaTheme="minorHAnsi"/>
          <w:lang w:eastAsia="x-none"/>
        </w:rPr>
        <w:lastRenderedPageBreak/>
        <w:t xml:space="preserve">Şehircilik İl Müdürlüğü tarafından 06.04.2023 tarihinde onaylanmıştır. </w:t>
      </w:r>
      <w:r w:rsidRPr="006F1CFC">
        <w:rPr>
          <w:rFonts w:eastAsiaTheme="minorHAnsi"/>
          <w:lang w:eastAsia="en-US"/>
        </w:rPr>
        <w:t xml:space="preserve">Söz konusu imar planına esas Jeolojik ve </w:t>
      </w:r>
      <w:proofErr w:type="spellStart"/>
      <w:r w:rsidRPr="006F1CFC">
        <w:rPr>
          <w:rFonts w:eastAsiaTheme="minorHAnsi"/>
          <w:lang w:eastAsia="en-US"/>
        </w:rPr>
        <w:t>Jeoteknik</w:t>
      </w:r>
      <w:proofErr w:type="spellEnd"/>
      <w:r w:rsidRPr="006F1CFC">
        <w:rPr>
          <w:rFonts w:eastAsiaTheme="minorHAnsi"/>
          <w:lang w:eastAsia="en-US"/>
        </w:rPr>
        <w:t xml:space="preserve"> Etüt Raporlarında belirtilen tüm hususlara uyulması gerekmektedir.</w:t>
      </w:r>
    </w:p>
    <w:p w:rsidR="006F1CFC" w:rsidRDefault="006F1CFC" w:rsidP="006F1CFC">
      <w:pPr>
        <w:autoSpaceDE w:val="0"/>
        <w:autoSpaceDN w:val="0"/>
        <w:adjustRightInd w:val="0"/>
        <w:ind w:firstLine="708"/>
        <w:jc w:val="both"/>
        <w:rPr>
          <w:rFonts w:eastAsiaTheme="minorHAnsi"/>
          <w:lang w:eastAsia="en-US"/>
        </w:rPr>
      </w:pPr>
    </w:p>
    <w:p w:rsidR="006F1CFC" w:rsidRDefault="006F1CFC" w:rsidP="006F1CFC">
      <w:pPr>
        <w:autoSpaceDE w:val="0"/>
        <w:autoSpaceDN w:val="0"/>
        <w:adjustRightInd w:val="0"/>
        <w:ind w:firstLine="708"/>
        <w:jc w:val="both"/>
        <w:rPr>
          <w:rFonts w:eastAsiaTheme="minorHAnsi"/>
          <w:lang w:eastAsia="en-US"/>
        </w:rPr>
      </w:pPr>
    </w:p>
    <w:p w:rsidR="006F1CFC" w:rsidRPr="006F1CFC" w:rsidRDefault="006F1CFC" w:rsidP="006F1CFC">
      <w:pPr>
        <w:autoSpaceDE w:val="0"/>
        <w:autoSpaceDN w:val="0"/>
        <w:adjustRightInd w:val="0"/>
        <w:ind w:firstLine="708"/>
        <w:jc w:val="both"/>
        <w:rPr>
          <w:rFonts w:eastAsiaTheme="minorHAnsi"/>
          <w:iCs/>
          <w:lang w:eastAsia="en-US"/>
        </w:rPr>
      </w:pPr>
      <w:proofErr w:type="gramStart"/>
      <w:r w:rsidRPr="006F1CFC">
        <w:rPr>
          <w:rFonts w:eastAsiaTheme="minorHAnsi"/>
          <w:lang w:eastAsia="en-US"/>
        </w:rPr>
        <w:t xml:space="preserve">Çevre, Şehircilik ve İklim Değişikliği İl Müdürlüğü ile </w:t>
      </w:r>
      <w:r w:rsidRPr="006F1CFC">
        <w:rPr>
          <w:rFonts w:eastAsiaTheme="minorHAnsi"/>
          <w:bCs/>
          <w:lang w:eastAsia="en-US"/>
        </w:rPr>
        <w:t>Tarım ve Orman Bakanlığı(Su Yönetimi Genel Müdürlüğü</w:t>
      </w:r>
      <w:r w:rsidRPr="006F1CFC">
        <w:rPr>
          <w:rFonts w:eastAsiaTheme="minorHAnsi"/>
          <w:lang w:eastAsia="en-US"/>
        </w:rPr>
        <w:t xml:space="preserve">) görüşünde belirtilen ve </w:t>
      </w:r>
      <w:proofErr w:type="spellStart"/>
      <w:r w:rsidRPr="006F1CFC">
        <w:rPr>
          <w:rFonts w:eastAsiaTheme="minorHAnsi"/>
          <w:lang w:eastAsia="en-US"/>
        </w:rPr>
        <w:t>ÇDP’nin</w:t>
      </w:r>
      <w:proofErr w:type="spellEnd"/>
      <w:r w:rsidRPr="006F1CFC">
        <w:rPr>
          <w:rFonts w:eastAsiaTheme="minorHAnsi"/>
          <w:lang w:eastAsia="en-US"/>
        </w:rPr>
        <w:t xml:space="preserve"> aynı maddesinde geçen “</w:t>
      </w:r>
      <w:proofErr w:type="spellStart"/>
      <w:r w:rsidRPr="006F1CFC">
        <w:rPr>
          <w:rFonts w:eastAsiaTheme="minorHAnsi"/>
          <w:i/>
          <w:iCs/>
          <w:lang w:eastAsia="en-US"/>
        </w:rPr>
        <w:t>ÇDP'de</w:t>
      </w:r>
      <w:proofErr w:type="spellEnd"/>
      <w:r w:rsidRPr="006F1CFC">
        <w:rPr>
          <w:rFonts w:eastAsiaTheme="minorHAnsi"/>
          <w:i/>
          <w:iCs/>
          <w:lang w:eastAsia="en-US"/>
        </w:rPr>
        <w:t xml:space="preserve"> doğal karakteri koruncak alanlar ve diğer koruma alanları ile içme ve kullanma suyu koruma kuşaklarında kalan alanlarda yapılacak uygulamalarda imar planlarının hazırlanması aşamasında, üniversitelerin ilgili bölümlerince faaliyetin çevreye olabilecek olası etkilerinin ve alınacak önlemlerin açıklandığı </w:t>
      </w:r>
      <w:r w:rsidRPr="006F1CFC">
        <w:rPr>
          <w:rFonts w:eastAsiaTheme="minorHAnsi"/>
          <w:b/>
          <w:i/>
          <w:iCs/>
          <w:lang w:eastAsia="en-US"/>
        </w:rPr>
        <w:t>Ekosistem Değerlendirme Raporu hazırlanması zorunludur.</w:t>
      </w:r>
      <w:r w:rsidRPr="006F1CFC">
        <w:rPr>
          <w:rFonts w:eastAsiaTheme="minorHAnsi"/>
          <w:i/>
          <w:iCs/>
          <w:lang w:eastAsia="en-US"/>
        </w:rPr>
        <w:t xml:space="preserve"> </w:t>
      </w:r>
      <w:proofErr w:type="gramEnd"/>
      <w:r w:rsidRPr="006F1CFC">
        <w:rPr>
          <w:rFonts w:eastAsiaTheme="minorHAnsi"/>
          <w:i/>
          <w:iCs/>
          <w:lang w:eastAsia="en-US"/>
        </w:rPr>
        <w:t xml:space="preserve">Bu alanlarda ilgili mevzuat hükümleri ve Ekosistem Değerlendirme Raporu doğrultusunda uygulama yapılacaktır.” </w:t>
      </w:r>
      <w:r w:rsidRPr="006F1CFC">
        <w:rPr>
          <w:rFonts w:eastAsiaTheme="minorHAnsi"/>
          <w:iCs/>
          <w:lang w:eastAsia="en-US"/>
        </w:rPr>
        <w:t>Hükmü gereği</w:t>
      </w:r>
      <w:r w:rsidRPr="006F1CFC">
        <w:rPr>
          <w:rFonts w:eastAsiaTheme="minorHAnsi"/>
          <w:i/>
          <w:iCs/>
          <w:lang w:eastAsia="en-US"/>
        </w:rPr>
        <w:t xml:space="preserve"> </w:t>
      </w:r>
      <w:r w:rsidRPr="006F1CFC">
        <w:rPr>
          <w:rFonts w:eastAsiaTheme="minorHAnsi"/>
          <w:iCs/>
          <w:lang w:eastAsia="en-US"/>
        </w:rPr>
        <w:t>imar planları aşamasında Ekosistem Değerlendirme Raporu hazırlanması gerekmektedir.</w:t>
      </w:r>
    </w:p>
    <w:p w:rsidR="00AA4BD8" w:rsidRPr="006F1CFC" w:rsidRDefault="006F1CFC" w:rsidP="006F1CFC">
      <w:pPr>
        <w:spacing w:line="276" w:lineRule="auto"/>
        <w:ind w:firstLine="708"/>
        <w:jc w:val="both"/>
        <w:rPr>
          <w:bCs/>
        </w:rPr>
      </w:pPr>
      <w:r w:rsidRPr="006F1CFC">
        <w:rPr>
          <w:rFonts w:eastAsiaTheme="minorHAnsi"/>
          <w:lang w:eastAsia="en-US"/>
        </w:rPr>
        <w:t xml:space="preserve">Hazırlanan İmar Planında Atabey İlçesi Pembeli Köyü 106 ada 37 ve 40 parseller </w:t>
      </w:r>
      <w:proofErr w:type="gramStart"/>
      <w:r w:rsidRPr="006F1CFC">
        <w:t>Yenilenebilir</w:t>
      </w:r>
      <w:proofErr w:type="gramEnd"/>
      <w:r w:rsidRPr="006F1CFC">
        <w:t xml:space="preserve"> Enerji Kaynaklarına Dayalı Üretim Tesis Alanı (Lisanssız Güneş Enerji Santrali (GES)) olarak planlanmıştır.</w:t>
      </w:r>
      <w:r w:rsidRPr="006F1CFC">
        <w:rPr>
          <w:rFonts w:eastAsiaTheme="minorHAnsi"/>
          <w:lang w:eastAsia="en-US"/>
        </w:rPr>
        <w:t xml:space="preserve"> 106 ada 40 </w:t>
      </w:r>
      <w:proofErr w:type="spellStart"/>
      <w:r w:rsidRPr="006F1CFC">
        <w:rPr>
          <w:rFonts w:eastAsiaTheme="minorHAnsi"/>
          <w:lang w:eastAsia="en-US"/>
        </w:rPr>
        <w:t>nolu</w:t>
      </w:r>
      <w:proofErr w:type="spellEnd"/>
      <w:r w:rsidRPr="006F1CFC">
        <w:rPr>
          <w:rFonts w:eastAsiaTheme="minorHAnsi"/>
          <w:lang w:eastAsia="en-US"/>
        </w:rPr>
        <w:t xml:space="preserve"> parselin güney-batı yönünde, parselin bir kısmını kapsayacak şekilde 10 m genişliğinde trafik yolu ile GES Tesisine enerji ve ulaşım bağlantısı sağlandığı tespit edilmiştir. Akdeniz Elektrik Dağıtım </w:t>
      </w:r>
      <w:proofErr w:type="spellStart"/>
      <w:r w:rsidRPr="006F1CFC">
        <w:rPr>
          <w:rFonts w:eastAsiaTheme="minorHAnsi"/>
          <w:lang w:eastAsia="en-US"/>
        </w:rPr>
        <w:t>A.Ş’nin</w:t>
      </w:r>
      <w:proofErr w:type="spellEnd"/>
      <w:r w:rsidRPr="006F1CFC">
        <w:rPr>
          <w:rFonts w:eastAsiaTheme="minorHAnsi"/>
          <w:lang w:eastAsia="en-US"/>
        </w:rPr>
        <w:t xml:space="preserve"> kurum görüşünde belirtildiği gibi bu yoldan cephe alacak şekilde 106 ada 40 parsel numaralı taşınmaz üzerine bir adet 4x8 </w:t>
      </w:r>
      <w:proofErr w:type="spellStart"/>
      <w:r w:rsidRPr="006F1CFC">
        <w:rPr>
          <w:rFonts w:eastAsiaTheme="minorHAnsi"/>
          <w:lang w:eastAsia="en-US"/>
        </w:rPr>
        <w:t>ebatında</w:t>
      </w:r>
      <w:proofErr w:type="spellEnd"/>
      <w:r w:rsidRPr="006F1CFC">
        <w:rPr>
          <w:rFonts w:eastAsiaTheme="minorHAnsi"/>
          <w:lang w:eastAsia="en-US"/>
        </w:rPr>
        <w:t xml:space="preserve"> trafo alanı ayrılmıştır. GES Tesisi üzerinde yapılaşma koşulu E=0.30, </w:t>
      </w:r>
      <w:proofErr w:type="spellStart"/>
      <w:r w:rsidRPr="006F1CFC">
        <w:rPr>
          <w:rFonts w:eastAsiaTheme="minorHAnsi"/>
          <w:lang w:eastAsia="en-US"/>
        </w:rPr>
        <w:t>Yençok</w:t>
      </w:r>
      <w:proofErr w:type="spellEnd"/>
      <w:r w:rsidRPr="006F1CFC">
        <w:rPr>
          <w:rFonts w:eastAsiaTheme="minorHAnsi"/>
          <w:lang w:eastAsia="en-US"/>
        </w:rPr>
        <w:t xml:space="preserve">=7.50 m, Yenilenebilir Enerji Üretime Dayalı (GES) Alanında güneş panellerinin temel ve kaidesi haricindeki kısımlar için ise Emsal:0.90, Yençok:7,50 metre olarak </w:t>
      </w:r>
      <w:r w:rsidR="00AA4BD8" w:rsidRPr="006F1CFC">
        <w:rPr>
          <w:bCs/>
        </w:rPr>
        <w:t xml:space="preserve">önerildiği İl Özel idaresi teknik elemanlarınca </w:t>
      </w:r>
      <w:proofErr w:type="gramStart"/>
      <w:r w:rsidR="00AA4BD8" w:rsidRPr="006F1CFC">
        <w:rPr>
          <w:bCs/>
        </w:rPr>
        <w:t>hazırlanan  2</w:t>
      </w:r>
      <w:r>
        <w:rPr>
          <w:bCs/>
        </w:rPr>
        <w:t>6</w:t>
      </w:r>
      <w:proofErr w:type="gramEnd"/>
      <w:r w:rsidR="00AA4BD8" w:rsidRPr="006F1CFC">
        <w:rPr>
          <w:bCs/>
        </w:rPr>
        <w:t>.0</w:t>
      </w:r>
      <w:r>
        <w:rPr>
          <w:bCs/>
        </w:rPr>
        <w:t>4</w:t>
      </w:r>
      <w:r w:rsidR="00AA4BD8" w:rsidRPr="006F1CFC">
        <w:rPr>
          <w:bCs/>
        </w:rPr>
        <w:t>.2023 tarihli teknik rapordan anlaşılmıştır.</w:t>
      </w:r>
    </w:p>
    <w:p w:rsidR="00D3338F" w:rsidRPr="006F1CFC" w:rsidRDefault="00CC71BA" w:rsidP="00CC71BA">
      <w:pPr>
        <w:ind w:firstLine="709"/>
        <w:jc w:val="both"/>
        <w:rPr>
          <w:bCs/>
        </w:rPr>
      </w:pPr>
      <w:r w:rsidRPr="006F1CFC">
        <w:t xml:space="preserve">Bu nedenle </w:t>
      </w:r>
      <w:r w:rsidR="006F1CFC" w:rsidRPr="006F1CFC">
        <w:t xml:space="preserve">Isparta İli,  Atabey İlçesi, Pembeli Köyünde tapunun 106 ada 37 ve 40 </w:t>
      </w:r>
      <w:proofErr w:type="spellStart"/>
      <w:r w:rsidR="006F1CFC" w:rsidRPr="006F1CFC">
        <w:t>nolu</w:t>
      </w:r>
      <w:proofErr w:type="spellEnd"/>
      <w:r w:rsidR="006F1CFC" w:rsidRPr="006F1CFC">
        <w:t xml:space="preserve"> parselinde kayıtlı olan toplam 8,614.21 m² yüzölçümlü taşınmazları kapsayan alanda mülkiyet sahibi </w:t>
      </w:r>
      <w:proofErr w:type="spellStart"/>
      <w:r w:rsidR="006F1CFC" w:rsidRPr="006F1CFC">
        <w:t>Melaz</w:t>
      </w:r>
      <w:proofErr w:type="spellEnd"/>
      <w:r w:rsidR="006F1CFC" w:rsidRPr="006F1CFC">
        <w:t xml:space="preserve"> Enerji Sanayi A.Ş. tarafından yapılması planlanan 400 kW gücünde “Yenilenebilir Enerji Kaynaklarına Dayalı Üretim Tesis Alanında (Lisanssız Güneş Enerji Santrali (GES))” R&amp;B Partner adına Şehir Plancısı Ramazan BALCI tarafından hazırlanan NİP-</w:t>
      </w:r>
      <w:proofErr w:type="gramStart"/>
      <w:r w:rsidR="006F1CFC" w:rsidRPr="006F1CFC">
        <w:t>321012915</w:t>
      </w:r>
      <w:proofErr w:type="gramEnd"/>
      <w:r w:rsidR="006F1CFC" w:rsidRPr="006F1CFC">
        <w:t xml:space="preserve"> plan işlem numaralı 1/5.000 Ölçekli Nazım İmar Planı ve UİP-321012914plan işlem numaralı 1/1.000 Ölçekli Uygulama İmar Planının </w:t>
      </w:r>
      <w:r w:rsidRPr="006F1CFC">
        <w:rPr>
          <w:bCs/>
        </w:rPr>
        <w:t>İl Özel idaresi teknik elemanla</w:t>
      </w:r>
      <w:r w:rsidR="006F1CFC">
        <w:rPr>
          <w:bCs/>
        </w:rPr>
        <w:t>rınca hazırlanan 26.</w:t>
      </w:r>
      <w:r w:rsidRPr="006F1CFC">
        <w:rPr>
          <w:bCs/>
        </w:rPr>
        <w:t>0</w:t>
      </w:r>
      <w:r w:rsidR="006F1CFC">
        <w:rPr>
          <w:bCs/>
        </w:rPr>
        <w:t>4</w:t>
      </w:r>
      <w:r w:rsidRPr="006F1CFC">
        <w:rPr>
          <w:bCs/>
        </w:rPr>
        <w:t xml:space="preserve">.2023 tarihli teknik rapor doğrultusunda onaylanması komisyonumuzca uygun görülmüştür. </w:t>
      </w:r>
      <w:proofErr w:type="gramStart"/>
      <w:r w:rsidR="006F1CFC">
        <w:rPr>
          <w:bCs/>
        </w:rPr>
        <w:t>05</w:t>
      </w:r>
      <w:r w:rsidRPr="006F1CFC">
        <w:rPr>
          <w:bCs/>
        </w:rPr>
        <w:t>/05/2023</w:t>
      </w:r>
      <w:proofErr w:type="gramEnd"/>
    </w:p>
    <w:p w:rsidR="00CC71BA" w:rsidRDefault="00CC71BA" w:rsidP="00CC71BA">
      <w:pPr>
        <w:ind w:firstLine="709"/>
        <w:jc w:val="both"/>
        <w:rPr>
          <w:bCs/>
          <w:sz w:val="22"/>
          <w:szCs w:val="22"/>
        </w:rPr>
      </w:pPr>
    </w:p>
    <w:p w:rsidR="00CC71BA" w:rsidRDefault="00CC71BA" w:rsidP="00CC71BA">
      <w:pPr>
        <w:ind w:firstLine="709"/>
        <w:jc w:val="both"/>
        <w:rPr>
          <w:bCs/>
          <w:sz w:val="22"/>
          <w:szCs w:val="22"/>
        </w:rPr>
      </w:pPr>
    </w:p>
    <w:p w:rsidR="00CC71BA" w:rsidRDefault="00CC71BA" w:rsidP="00CC71BA">
      <w:pPr>
        <w:ind w:firstLine="709"/>
        <w:jc w:val="both"/>
        <w:rPr>
          <w:bCs/>
          <w:sz w:val="22"/>
          <w:szCs w:val="22"/>
        </w:rPr>
      </w:pPr>
    </w:p>
    <w:p w:rsidR="00CC71BA" w:rsidRPr="00686EC7" w:rsidRDefault="00CC71BA" w:rsidP="00CC71BA">
      <w:pPr>
        <w:ind w:firstLine="708"/>
        <w:jc w:val="center"/>
        <w:rPr>
          <w:b/>
        </w:rPr>
      </w:pPr>
      <w:r w:rsidRPr="00686EC7">
        <w:rPr>
          <w:b/>
        </w:rPr>
        <w:t>İMAR VE BAYINDIRLIK KOMİSYONU</w:t>
      </w:r>
    </w:p>
    <w:p w:rsidR="00CC71BA" w:rsidRDefault="00CC71BA" w:rsidP="00CC71BA">
      <w:pPr>
        <w:ind w:firstLine="708"/>
        <w:jc w:val="center"/>
      </w:pPr>
    </w:p>
    <w:p w:rsidR="00CC71BA" w:rsidRPr="00686EC7" w:rsidRDefault="00CC71BA" w:rsidP="00CC71BA">
      <w:pPr>
        <w:ind w:firstLine="708"/>
        <w:jc w:val="center"/>
      </w:pPr>
    </w:p>
    <w:p w:rsidR="00CC71BA" w:rsidRDefault="00CC71BA" w:rsidP="00CC71BA">
      <w:r>
        <w:t xml:space="preserve">Komisyon Başkanı </w:t>
      </w:r>
      <w:r>
        <w:tab/>
      </w:r>
      <w:r w:rsidRPr="00686EC7">
        <w:t>Başkan Vekili</w:t>
      </w:r>
      <w:r w:rsidRPr="00686EC7">
        <w:tab/>
      </w:r>
      <w:r w:rsidRPr="00686EC7">
        <w:tab/>
      </w:r>
      <w:r w:rsidRPr="00686EC7">
        <w:tab/>
        <w:t>Sözcü</w:t>
      </w:r>
      <w:r w:rsidRPr="00686EC7">
        <w:tab/>
      </w:r>
      <w:r w:rsidRPr="00686EC7">
        <w:tab/>
      </w:r>
      <w:r w:rsidRPr="00686EC7">
        <w:tab/>
      </w:r>
      <w:r w:rsidRPr="00686EC7">
        <w:tab/>
        <w:t>Üye</w:t>
      </w:r>
    </w:p>
    <w:p w:rsidR="00CC71BA" w:rsidRPr="00686EC7" w:rsidRDefault="00CC71BA" w:rsidP="00CC71BA"/>
    <w:p w:rsidR="00CC71BA" w:rsidRPr="00686EC7" w:rsidRDefault="00CC71BA" w:rsidP="00CC71BA">
      <w:r w:rsidRPr="00686EC7">
        <w:t xml:space="preserve">İbrahim AĞRAS </w:t>
      </w:r>
      <w:r>
        <w:tab/>
      </w:r>
      <w:r w:rsidRPr="00686EC7">
        <w:t>Ahmet SEKTİOĞLU</w:t>
      </w:r>
      <w:r>
        <w:tab/>
      </w:r>
      <w:r w:rsidRPr="00686EC7">
        <w:tab/>
        <w:t xml:space="preserve">Sezgin ÖZDOĞANCI </w:t>
      </w:r>
      <w:r>
        <w:tab/>
      </w:r>
      <w:r w:rsidRPr="00686EC7">
        <w:t>Faik ÇIRAK</w:t>
      </w:r>
      <w:r>
        <w:tab/>
      </w:r>
      <w:r>
        <w:tab/>
      </w:r>
      <w:r>
        <w:tab/>
      </w:r>
      <w:r w:rsidRPr="00686EC7">
        <w:tab/>
      </w:r>
      <w:r w:rsidRPr="00686EC7">
        <w:tab/>
      </w:r>
      <w:r w:rsidRPr="00686EC7">
        <w:tab/>
        <w:t xml:space="preserve"> </w:t>
      </w:r>
    </w:p>
    <w:p w:rsidR="00CC71BA" w:rsidRDefault="00CC71BA" w:rsidP="00CC71BA">
      <w:r w:rsidRPr="00686EC7">
        <w:t xml:space="preserve">                        </w:t>
      </w:r>
    </w:p>
    <w:p w:rsidR="00CC71BA" w:rsidRDefault="00CC71BA" w:rsidP="00CC71BA"/>
    <w:p w:rsidR="00CC71BA" w:rsidRPr="00686EC7" w:rsidRDefault="00CC71BA" w:rsidP="00CC71BA"/>
    <w:p w:rsidR="00CC71BA" w:rsidRDefault="00CC71BA" w:rsidP="00CC71BA">
      <w:pPr>
        <w:ind w:left="1416" w:firstLine="708"/>
      </w:pPr>
      <w:r w:rsidRPr="00686EC7">
        <w:t xml:space="preserve">Üye </w:t>
      </w:r>
      <w:r w:rsidRPr="00686EC7">
        <w:tab/>
      </w:r>
      <w:r w:rsidRPr="00686EC7">
        <w:tab/>
        <w:t xml:space="preserve">          </w:t>
      </w:r>
      <w:r w:rsidRPr="00686EC7">
        <w:tab/>
      </w:r>
      <w:r w:rsidRPr="00686EC7">
        <w:tab/>
      </w:r>
      <w:proofErr w:type="spellStart"/>
      <w:r w:rsidRPr="00686EC7">
        <w:t>Üye</w:t>
      </w:r>
      <w:proofErr w:type="spellEnd"/>
      <w:r w:rsidRPr="00686EC7">
        <w:t xml:space="preserve"> </w:t>
      </w:r>
      <w:r w:rsidRPr="00686EC7">
        <w:tab/>
      </w:r>
      <w:r w:rsidRPr="00686EC7">
        <w:tab/>
      </w:r>
      <w:r w:rsidRPr="00686EC7">
        <w:tab/>
        <w:t xml:space="preserve"> </w:t>
      </w:r>
      <w:r w:rsidRPr="00686EC7">
        <w:tab/>
      </w:r>
      <w:proofErr w:type="spellStart"/>
      <w:r w:rsidRPr="00686EC7">
        <w:t>Üye</w:t>
      </w:r>
      <w:proofErr w:type="spellEnd"/>
    </w:p>
    <w:p w:rsidR="00CC71BA" w:rsidRPr="00686EC7" w:rsidRDefault="00CC71BA" w:rsidP="00CC71BA">
      <w:pPr>
        <w:ind w:left="1416" w:firstLine="708"/>
      </w:pPr>
    </w:p>
    <w:p w:rsidR="00CC71BA" w:rsidRPr="00686EC7" w:rsidRDefault="00CC71BA" w:rsidP="00CC71BA">
      <w:pPr>
        <w:ind w:left="2124"/>
      </w:pPr>
      <w:proofErr w:type="spellStart"/>
      <w:r w:rsidRPr="00686EC7">
        <w:t>Mükerrem</w:t>
      </w:r>
      <w:proofErr w:type="spellEnd"/>
      <w:r w:rsidRPr="00686EC7">
        <w:t xml:space="preserve"> ÇETİNKAYA</w:t>
      </w:r>
      <w:r w:rsidRPr="00686EC7">
        <w:tab/>
        <w:t xml:space="preserve"> Nazmi MACİT </w:t>
      </w:r>
      <w:r>
        <w:tab/>
      </w:r>
      <w:r>
        <w:tab/>
      </w:r>
      <w:r w:rsidRPr="00686EC7">
        <w:t>Adil AKBULUT</w:t>
      </w:r>
    </w:p>
    <w:p w:rsidR="00CC71BA" w:rsidRPr="00686EC7" w:rsidRDefault="00CC71BA" w:rsidP="00CC71BA">
      <w:pPr>
        <w:ind w:hanging="851"/>
        <w:jc w:val="center"/>
      </w:pPr>
    </w:p>
    <w:p w:rsidR="00CC71BA" w:rsidRPr="00CC71BA" w:rsidRDefault="00CC71BA" w:rsidP="00CC71BA">
      <w:pPr>
        <w:ind w:firstLine="709"/>
        <w:jc w:val="both"/>
        <w:rPr>
          <w:sz w:val="22"/>
          <w:szCs w:val="22"/>
        </w:rPr>
      </w:pPr>
    </w:p>
    <w:sectPr w:rsidR="00CC71BA" w:rsidRPr="00CC71BA" w:rsidSect="006F1CFC">
      <w:headerReference w:type="default" r:id="rId7"/>
      <w:footerReference w:type="default" r:id="rId8"/>
      <w:pgSz w:w="11906" w:h="16838"/>
      <w:pgMar w:top="1417" w:right="42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117152"/>
      <w:docPartObj>
        <w:docPartGallery w:val="Page Numbers (Bottom of Page)"/>
        <w:docPartUnique/>
      </w:docPartObj>
    </w:sdtPr>
    <w:sdtEndPr/>
    <w:sdtContent>
      <w:p w:rsidR="00AA4BD8" w:rsidRDefault="00AA4BD8">
        <w:pPr>
          <w:pStyle w:val="Altbilgi"/>
          <w:jc w:val="right"/>
        </w:pPr>
        <w:r>
          <w:fldChar w:fldCharType="begin"/>
        </w:r>
        <w:r>
          <w:instrText>PAGE   \* MERGEFORMAT</w:instrText>
        </w:r>
        <w:r>
          <w:fldChar w:fldCharType="separate"/>
        </w:r>
        <w:r w:rsidR="00DF789A">
          <w:rPr>
            <w:noProof/>
          </w:rPr>
          <w:t>4</w:t>
        </w:r>
        <w:r>
          <w:fldChar w:fldCharType="end"/>
        </w:r>
      </w:p>
    </w:sdtContent>
  </w:sdt>
  <w:p w:rsidR="00AA4BD8" w:rsidRDefault="00AA4B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6"/>
    <w:rsid w:val="006F1CFC"/>
    <w:rsid w:val="009972D4"/>
    <w:rsid w:val="009B3DA6"/>
    <w:rsid w:val="009E6145"/>
    <w:rsid w:val="00A24B97"/>
    <w:rsid w:val="00AA4BD8"/>
    <w:rsid w:val="00CC71BA"/>
    <w:rsid w:val="00D3338F"/>
    <w:rsid w:val="00DF78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D9C99-D32F-4673-ABA5-845C4132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B9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semiHidden/>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1906</Words>
  <Characters>10866</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recep aybay</cp:lastModifiedBy>
  <cp:revision>6</cp:revision>
  <dcterms:created xsi:type="dcterms:W3CDTF">2023-04-28T06:48:00Z</dcterms:created>
  <dcterms:modified xsi:type="dcterms:W3CDTF">2023-05-05T06:24:00Z</dcterms:modified>
</cp:coreProperties>
</file>